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color w:val="auto"/>
        </w:rPr>
      </w:pPr>
      <w:r>
        <w:rPr>
          <w:rFonts w:ascii="Calibri" w:hAnsi="Calibri"/>
          <w:color w:val="auto"/>
          <w:szCs w:val="32"/>
        </w:rPr>
        <w:t>Sharia Banking Credit Crunch during Global Crisis</w:t>
      </w:r>
      <w:r>
        <w:rPr>
          <w:rFonts w:ascii="Calibri" w:hAnsi="Calibri"/>
          <w:color w:val="auto"/>
          <w:szCs w:val="32"/>
          <w:lang w:val="en-US"/>
        </w:rPr>
        <w:t xml:space="preserve"> In Indonesia.</w:t>
      </w:r>
    </w:p>
    <w:p>
      <w:pPr>
        <w:ind w:left="0" w:leftChars="0" w:firstLine="799" w:firstLineChars="333"/>
        <w:jc w:val="center"/>
        <w:rPr>
          <w:rFonts w:hint="default" w:hAnsi="Times New Roman" w:cs="Times New Roman" w:asciiTheme="minorAscii"/>
          <w:b w:val="0"/>
          <w:bCs w:val="0"/>
          <w:sz w:val="24"/>
          <w:szCs w:val="24"/>
          <w:lang w:val="en-US"/>
        </w:rPr>
      </w:pPr>
    </w:p>
    <w:p>
      <w:pPr>
        <w:pStyle w:val="12"/>
        <w:rPr>
          <w:rFonts w:asciiTheme="minorHAnsi" w:hAnsiTheme="minorHAnsi"/>
        </w:rPr>
      </w:pPr>
      <w:r>
        <w:rPr>
          <w:rFonts w:asciiTheme="minorHAnsi" w:hAnsiTheme="minorHAnsi"/>
          <w:lang w:val="en-US"/>
        </w:rPr>
        <w:t>Eko Wiratno</w:t>
      </w:r>
      <w:r>
        <w:rPr>
          <w:rFonts w:asciiTheme="minorHAnsi" w:hAnsiTheme="minorHAnsi"/>
        </w:rPr>
        <w:t xml:space="preserve"> </w:t>
      </w:r>
      <w:r>
        <w:rPr>
          <w:rFonts w:asciiTheme="minorHAnsi" w:hAnsiTheme="minorHAnsi"/>
          <w:vertAlign w:val="superscript"/>
        </w:rPr>
        <w:t>1</w:t>
      </w:r>
      <w:r>
        <w:rPr>
          <w:rFonts w:asciiTheme="minorHAnsi" w:hAnsiTheme="minorHAnsi"/>
        </w:rPr>
        <w:t xml:space="preserve">, </w:t>
      </w:r>
      <w:r>
        <w:rPr>
          <w:rFonts w:asciiTheme="minorHAnsi" w:hAnsiTheme="minorHAnsi"/>
          <w:lang w:val="en-US"/>
        </w:rPr>
        <w:t>Lukman Hakim</w:t>
      </w:r>
      <w:r>
        <w:rPr>
          <w:rFonts w:asciiTheme="minorHAnsi" w:hAnsiTheme="minorHAnsi"/>
        </w:rPr>
        <w:t xml:space="preserve"> </w:t>
      </w:r>
      <w:r>
        <w:rPr>
          <w:rFonts w:asciiTheme="minorHAnsi" w:hAnsiTheme="minorHAnsi"/>
          <w:vertAlign w:val="superscript"/>
        </w:rPr>
        <w:t>2</w:t>
      </w:r>
      <w:r>
        <w:rPr>
          <w:rFonts w:asciiTheme="minorHAnsi" w:hAnsiTheme="minorHAnsi"/>
        </w:rPr>
        <w:t xml:space="preserve"> and </w:t>
      </w:r>
      <w:r>
        <w:rPr>
          <w:rFonts w:asciiTheme="minorHAnsi" w:hAnsiTheme="minorHAnsi"/>
          <w:lang w:val="en-US"/>
        </w:rPr>
        <w:t>Akhmad Daerobi</w:t>
      </w:r>
      <w:r>
        <w:rPr>
          <w:rFonts w:asciiTheme="minorHAnsi" w:hAnsiTheme="minorHAnsi"/>
        </w:rPr>
        <w:t xml:space="preserve"> </w:t>
      </w:r>
      <w:r>
        <w:rPr>
          <w:rFonts w:asciiTheme="minorHAnsi" w:hAnsiTheme="minorHAnsi"/>
          <w:vertAlign w:val="superscript"/>
          <w:lang w:val="en-US"/>
        </w:rPr>
        <w:t>2</w:t>
      </w:r>
      <w:r>
        <w:rPr>
          <w:rFonts w:asciiTheme="minorHAnsi" w:hAnsiTheme="minorHAnsi"/>
        </w:rPr>
        <w:t xml:space="preserve"> </w:t>
      </w:r>
      <w:r>
        <w:rPr>
          <w:rStyle w:val="13"/>
          <w:rFonts w:asciiTheme="minorHAnsi" w:hAnsiTheme="minorHAnsi"/>
        </w:rPr>
        <w:footnoteReference w:id="0" w:customMarkFollows="1"/>
        <w:t></w:t>
      </w:r>
    </w:p>
    <w:p>
      <w:pPr>
        <w:pStyle w:val="14"/>
        <w:rPr>
          <w:rFonts w:asciiTheme="minorHAnsi" w:hAnsiTheme="minorHAnsi"/>
        </w:rPr>
      </w:pPr>
      <w:r>
        <w:rPr>
          <w:rFonts w:asciiTheme="minorHAnsi" w:hAnsiTheme="minorHAnsi"/>
          <w:vertAlign w:val="superscript"/>
        </w:rPr>
        <w:t>1</w:t>
      </w:r>
      <w:r>
        <w:rPr>
          <w:rFonts w:asciiTheme="minorHAnsi" w:hAnsiTheme="minorHAnsi"/>
        </w:rPr>
        <w:t xml:space="preserve"> </w:t>
      </w:r>
      <w:r>
        <w:rPr>
          <w:rFonts w:asciiTheme="minorHAnsi" w:hAnsiTheme="minorHAnsi"/>
          <w:lang w:val="en-US"/>
        </w:rPr>
        <w:t>Student of Postgraduate Sebelas Maret University, Surakarta, Indoneisa</w:t>
      </w:r>
    </w:p>
    <w:p>
      <w:pPr>
        <w:pStyle w:val="15"/>
        <w:rPr>
          <w:rFonts w:asciiTheme="minorHAnsi" w:hAnsiTheme="minorHAnsi"/>
        </w:rPr>
      </w:pPr>
      <w:r>
        <w:rPr>
          <w:rFonts w:asciiTheme="minorHAnsi" w:hAnsiTheme="minorHAnsi"/>
          <w:vertAlign w:val="superscript"/>
        </w:rPr>
        <w:t>2</w:t>
      </w:r>
      <w:r>
        <w:rPr>
          <w:rFonts w:asciiTheme="minorHAnsi" w:hAnsiTheme="minorHAnsi"/>
        </w:rPr>
        <w:t xml:space="preserve"> </w:t>
      </w:r>
      <w:r>
        <w:rPr>
          <w:rFonts w:asciiTheme="minorHAnsi" w:hAnsiTheme="minorHAnsi"/>
          <w:lang w:val="en-US"/>
        </w:rPr>
        <w:t>Lecturer of Postgraduate Sebelas Maret University, Surakarta, Indonesia</w:t>
      </w:r>
    </w:p>
    <w:p>
      <w:pPr>
        <w:spacing w:after="0" w:line="240" w:lineRule="auto"/>
        <w:ind w:left="638" w:leftChars="290" w:firstLine="22" w:firstLineChars="11"/>
        <w:jc w:val="both"/>
        <w:rPr>
          <w:rFonts w:hAnsi="Times New Roman"/>
          <w:i/>
          <w:iCs/>
          <w:color w:val="auto"/>
          <w:sz w:val="20"/>
          <w:szCs w:val="20"/>
        </w:rPr>
      </w:pPr>
      <w:r>
        <w:rPr>
          <w:rStyle w:val="16"/>
          <w:i/>
          <w:iCs/>
          <w:color w:val="auto"/>
          <w:sz w:val="20"/>
          <w:szCs w:val="20"/>
        </w:rPr>
        <w:t>Abstract. This research</w:t>
      </w:r>
      <w:r>
        <w:rPr>
          <w:rStyle w:val="16"/>
          <w:i/>
          <w:iCs/>
          <w:color w:val="auto"/>
          <w:sz w:val="20"/>
          <w:szCs w:val="20"/>
          <w:lang w:val="en-US"/>
        </w:rPr>
        <w:t xml:space="preserve"> was conducted</w:t>
      </w:r>
      <w:r>
        <w:rPr>
          <w:rStyle w:val="16"/>
          <w:i/>
          <w:iCs/>
          <w:color w:val="auto"/>
          <w:sz w:val="20"/>
          <w:szCs w:val="20"/>
        </w:rPr>
        <w:t xml:space="preserve"> examining factors which influences </w:t>
      </w:r>
      <w:r>
        <w:rPr>
          <w:rFonts w:hAnsi="Times New Roman"/>
          <w:i/>
          <w:iCs/>
          <w:color w:val="auto"/>
          <w:sz w:val="20"/>
          <w:szCs w:val="20"/>
        </w:rPr>
        <w:t xml:space="preserve">financial crunch as seen from the perspective of financing supply and demand sharia bank in Indonesia from January 2003 - June 2015. The secondary data </w:t>
      </w:r>
      <w:r>
        <w:rPr>
          <w:rFonts w:hAnsi="Times New Roman"/>
          <w:i/>
          <w:iCs/>
          <w:color w:val="auto"/>
          <w:sz w:val="20"/>
          <w:szCs w:val="20"/>
          <w:lang w:val="en-US"/>
        </w:rPr>
        <w:t xml:space="preserve">were </w:t>
      </w:r>
      <w:r>
        <w:rPr>
          <w:rFonts w:hAnsi="Times New Roman"/>
          <w:i/>
          <w:iCs/>
          <w:color w:val="auto"/>
          <w:sz w:val="20"/>
          <w:szCs w:val="20"/>
        </w:rPr>
        <w:t xml:space="preserve">obtained from </w:t>
      </w:r>
      <w:r>
        <w:rPr>
          <w:rFonts w:hAnsi="Times New Roman"/>
          <w:i/>
          <w:iCs/>
          <w:color w:val="auto"/>
          <w:sz w:val="20"/>
          <w:szCs w:val="20"/>
          <w:lang w:val="en-US"/>
        </w:rPr>
        <w:t>Statistics Indonesia</w:t>
      </w:r>
      <w:r>
        <w:rPr>
          <w:rFonts w:hAnsi="Times New Roman"/>
          <w:i/>
          <w:iCs/>
          <w:color w:val="auto"/>
          <w:sz w:val="20"/>
          <w:szCs w:val="20"/>
        </w:rPr>
        <w:t xml:space="preserve"> (BPS), Bank Indonesia (BI) and Financial Services Authority (OJK). This research </w:t>
      </w:r>
      <w:r>
        <w:rPr>
          <w:rFonts w:hAnsi="Times New Roman"/>
          <w:i/>
          <w:iCs/>
          <w:color w:val="auto"/>
          <w:sz w:val="20"/>
          <w:szCs w:val="20"/>
          <w:lang w:val="en-US"/>
        </w:rPr>
        <w:t>conducted</w:t>
      </w:r>
      <w:r>
        <w:rPr>
          <w:rFonts w:hAnsi="Times New Roman"/>
          <w:i/>
          <w:iCs/>
          <w:color w:val="auto"/>
          <w:sz w:val="20"/>
          <w:szCs w:val="20"/>
        </w:rPr>
        <w:t xml:space="preserve"> </w:t>
      </w:r>
      <w:r>
        <w:rPr>
          <w:rFonts w:hAnsi="Times New Roman"/>
          <w:i/>
          <w:iCs/>
          <w:color w:val="auto"/>
          <w:sz w:val="20"/>
          <w:szCs w:val="20"/>
          <w:lang w:val="en-US"/>
        </w:rPr>
        <w:t>with</w:t>
      </w:r>
      <w:r>
        <w:rPr>
          <w:rFonts w:hAnsi="Times New Roman"/>
          <w:i/>
          <w:iCs/>
          <w:color w:val="auto"/>
          <w:sz w:val="20"/>
          <w:szCs w:val="20"/>
        </w:rPr>
        <w:t xml:space="preserve"> Two Stage Least Square (TSLS) approach</w:t>
      </w:r>
      <w:r>
        <w:rPr>
          <w:rFonts w:hAnsi="Times New Roman"/>
          <w:i/>
          <w:iCs/>
          <w:color w:val="auto"/>
          <w:sz w:val="20"/>
          <w:szCs w:val="20"/>
          <w:lang w:val="en-US"/>
        </w:rPr>
        <w:t>ed</w:t>
      </w:r>
      <w:r>
        <w:rPr>
          <w:rFonts w:hAnsi="Times New Roman"/>
          <w:i/>
          <w:iCs/>
          <w:color w:val="auto"/>
          <w:sz w:val="20"/>
          <w:szCs w:val="20"/>
        </w:rPr>
        <w:t>.</w:t>
      </w:r>
    </w:p>
    <w:p>
      <w:pPr>
        <w:spacing w:after="0" w:line="240" w:lineRule="auto"/>
        <w:ind w:left="660" w:leftChars="300" w:firstLine="4"/>
        <w:jc w:val="both"/>
        <w:rPr>
          <w:rFonts w:hAnsi="Times New Roman"/>
          <w:i/>
          <w:iCs/>
          <w:color w:val="auto"/>
          <w:sz w:val="20"/>
          <w:szCs w:val="20"/>
        </w:rPr>
      </w:pPr>
      <w:r>
        <w:rPr>
          <w:rFonts w:hAnsi="Times New Roman"/>
          <w:i/>
          <w:iCs/>
          <w:color w:val="auto"/>
          <w:sz w:val="20"/>
          <w:szCs w:val="20"/>
        </w:rPr>
        <w:t>The results show</w:t>
      </w:r>
      <w:r>
        <w:rPr>
          <w:rFonts w:hAnsi="Times New Roman"/>
          <w:i/>
          <w:iCs/>
          <w:color w:val="auto"/>
          <w:sz w:val="20"/>
          <w:szCs w:val="20"/>
          <w:lang w:val="en-US"/>
        </w:rPr>
        <w:t>ed</w:t>
      </w:r>
      <w:r>
        <w:rPr>
          <w:rFonts w:hAnsi="Times New Roman"/>
          <w:i/>
          <w:iCs/>
          <w:color w:val="auto"/>
          <w:sz w:val="20"/>
          <w:szCs w:val="20"/>
        </w:rPr>
        <w:t xml:space="preserve"> that financial crunch d</w:t>
      </w:r>
      <w:r>
        <w:rPr>
          <w:rFonts w:hAnsi="Times New Roman"/>
          <w:i/>
          <w:iCs/>
          <w:color w:val="auto"/>
          <w:sz w:val="20"/>
          <w:szCs w:val="20"/>
          <w:lang w:val="en-US"/>
        </w:rPr>
        <w:t>id</w:t>
      </w:r>
      <w:r>
        <w:rPr>
          <w:rFonts w:hAnsi="Times New Roman"/>
          <w:i/>
          <w:iCs/>
          <w:color w:val="auto"/>
          <w:sz w:val="20"/>
          <w:szCs w:val="20"/>
        </w:rPr>
        <w:t xml:space="preserve"> not occur</w:t>
      </w:r>
      <w:r>
        <w:rPr>
          <w:rFonts w:hAnsi="Times New Roman"/>
          <w:i/>
          <w:iCs/>
          <w:color w:val="auto"/>
          <w:sz w:val="20"/>
          <w:szCs w:val="20"/>
          <w:lang w:val="en-US"/>
        </w:rPr>
        <w:t>ed</w:t>
      </w:r>
      <w:r>
        <w:rPr>
          <w:rFonts w:hAnsi="Times New Roman"/>
          <w:i/>
          <w:iCs/>
          <w:color w:val="auto"/>
          <w:sz w:val="20"/>
          <w:szCs w:val="20"/>
        </w:rPr>
        <w:t xml:space="preserve"> in sharia banking in Indonesia from January 2003-June 2015, Third Party Fund (DPK) negatively and significantly influences sharia banking financing supply, Non-Performing Financing (NPF) positively and non-significantly influences sharia banking financing supply, Profit Sharing Rate (TBH) positively and significantly influences sharia banking financing supply, Bank Indonesia Wadiah Certificate (SWBI) positively and non-significantly influences sharia banking financing supply, Bank Indonesia Certificate (SBI) positively and significantly influences sharia banking financing demand and Gross Domestic Product (PDB) positively and significantly influences sharia banking financing demand.</w:t>
      </w:r>
    </w:p>
    <w:p>
      <w:pPr>
        <w:keepNext w:val="0"/>
        <w:keepLines w:val="0"/>
        <w:pageBreakBefore w:val="0"/>
        <w:widowControl/>
        <w:kinsoku/>
        <w:wordWrap/>
        <w:overflowPunct/>
        <w:topLinePunct w:val="0"/>
        <w:autoSpaceDE/>
        <w:autoSpaceDN/>
        <w:bidi w:val="0"/>
        <w:adjustRightInd/>
        <w:snapToGrid/>
        <w:spacing w:after="0" w:line="240" w:lineRule="auto"/>
        <w:ind w:left="638" w:leftChars="290" w:right="0" w:rightChars="0" w:firstLine="22" w:firstLineChars="11"/>
        <w:jc w:val="both"/>
        <w:textAlignment w:val="auto"/>
        <w:outlineLvl w:val="9"/>
        <w:rPr>
          <w:rStyle w:val="16"/>
          <w:rFonts w:asciiTheme="minorAscii" w:hAnsiTheme="minorHAnsi"/>
          <w:i/>
          <w:iCs/>
          <w:sz w:val="20"/>
          <w:szCs w:val="20"/>
        </w:rPr>
      </w:pPr>
    </w:p>
    <w:p>
      <w:pPr>
        <w:pStyle w:val="17"/>
        <w:spacing w:after="360"/>
        <w:rPr>
          <w:rStyle w:val="18"/>
          <w:rFonts w:asciiTheme="minorHAnsi" w:hAnsiTheme="minorHAnsi"/>
        </w:rPr>
      </w:pPr>
      <w:r>
        <w:rPr>
          <w:rStyle w:val="18"/>
          <w:rFonts w:asciiTheme="minorHAnsi" w:hAnsiTheme="minorHAnsi"/>
        </w:rPr>
        <w:t>Keywords:</w:t>
      </w:r>
      <w:r>
        <w:rPr>
          <w:rFonts w:ascii="Calibri"/>
          <w:color w:val="auto"/>
          <w:lang w:val="en-US"/>
        </w:rPr>
        <w:t>financing, sharia bank, financial crunch, two stage least square (TSLS)</w:t>
      </w:r>
    </w:p>
    <w:p>
      <w:pPr>
        <w:pStyle w:val="17"/>
        <w:spacing w:after="360"/>
        <w:rPr>
          <w:rFonts w:asciiTheme="minorHAnsi" w:hAnsiTheme="minorHAnsi"/>
          <w:sz w:val="22"/>
        </w:rPr>
      </w:pPr>
      <w:r>
        <w:rPr>
          <w:rStyle w:val="18"/>
          <w:rFonts w:asciiTheme="minorHAnsi" w:hAnsiTheme="minorHAnsi"/>
          <w:sz w:val="22"/>
        </w:rPr>
        <w:t>JEL Codes:</w:t>
      </w:r>
      <w:r>
        <w:rPr>
          <w:rFonts w:asciiTheme="minorHAnsi" w:hAnsiTheme="minorHAnsi"/>
          <w:sz w:val="22"/>
        </w:rPr>
        <w:t>________(</w:t>
      </w:r>
      <w:r>
        <w:rPr>
          <w:rFonts w:asciiTheme="minorHAnsi" w:hAnsiTheme="minorHAnsi"/>
          <w:i/>
          <w:sz w:val="22"/>
        </w:rPr>
        <w:t xml:space="preserve">please see the link </w:t>
      </w:r>
      <w:r>
        <w:fldChar w:fldCharType="begin"/>
      </w:r>
      <w:r>
        <w:instrText xml:space="preserve"> HYPERLINK "http://www.aeaweb.org/jel/jel_class_system.php" </w:instrText>
      </w:r>
      <w:r>
        <w:fldChar w:fldCharType="separate"/>
      </w:r>
      <w:r>
        <w:rPr>
          <w:rStyle w:val="8"/>
          <w:rFonts w:asciiTheme="minorHAnsi" w:hAnsiTheme="minorHAnsi"/>
          <w:i/>
          <w:sz w:val="22"/>
        </w:rPr>
        <w:t>http://www.aeaweb.org/jel/jel_class_system.php</w:t>
      </w:r>
      <w:r>
        <w:rPr>
          <w:rStyle w:val="8"/>
          <w:rFonts w:asciiTheme="minorHAnsi" w:hAnsiTheme="minorHAnsi"/>
          <w:i/>
          <w:sz w:val="22"/>
        </w:rPr>
        <w:fldChar w:fldCharType="end"/>
      </w:r>
      <w:r>
        <w:rPr>
          <w:rFonts w:asciiTheme="minorHAnsi" w:hAnsiTheme="minorHAnsi"/>
          <w:i/>
          <w:sz w:val="22"/>
        </w:rPr>
        <w:t xml:space="preserve">  .for identifying your JEL codes</w:t>
      </w:r>
      <w:r>
        <w:rPr>
          <w:rFonts w:asciiTheme="minorHAnsi" w:hAnsiTheme="minorHAnsi"/>
          <w:sz w:val="22"/>
        </w:rPr>
        <w:t>)</w:t>
      </w:r>
    </w:p>
    <w:p>
      <w:pPr>
        <w:pStyle w:val="19"/>
        <w:rPr>
          <w:rFonts w:asciiTheme="minorHAnsi" w:hAnsiTheme="minorHAnsi"/>
        </w:rPr>
      </w:pPr>
      <w:r>
        <w:rPr>
          <w:rFonts w:asciiTheme="minorHAnsi" w:hAnsiTheme="minorHAnsi"/>
        </w:rPr>
        <w:t xml:space="preserve">Introduction </w:t>
      </w:r>
    </w:p>
    <w:p>
      <w:pPr>
        <w:autoSpaceDE w:val="0"/>
        <w:autoSpaceDN w:val="0"/>
        <w:adjustRightInd w:val="0"/>
        <w:spacing w:after="0" w:line="240" w:lineRule="auto"/>
        <w:ind w:left="40" w:leftChars="18" w:firstLine="320"/>
        <w:jc w:val="both"/>
        <w:rPr>
          <w:rFonts w:hAnsi="SimSun" w:eastAsia="SimSun" w:cs="SimSun"/>
          <w:color w:val="auto"/>
        </w:rPr>
      </w:pPr>
      <w:r>
        <w:rPr>
          <w:rFonts w:hAnsi="SimSun" w:eastAsia="SimSun" w:cs="SimSun"/>
          <w:color w:val="auto"/>
        </w:rPr>
        <w:t>Financial crunch is an economic phenomenon in which bank financing cannot be maximally distributed to real sectors. A situation where bank financing supply decreases is caused by bank's decreased interest in financing distribution. The reason of this phenomenon may be viewed from financing supply and demand perspectives. From supply perspective, financial crunch takes place as a result of excessive caution banks take in selecting customers as the result of a trauma such as economy crisis. While from demand perspective, financial crunch is caused by customers' low interest in borrowing money, as the result of too high risk to be assumed (Hakim and Rahayu, 2007). Some researchers such as Agung</w:t>
      </w:r>
      <w:r>
        <w:rPr>
          <w:rFonts w:hAnsi="SimSun" w:eastAsia="SimSun" w:cs="SimSun"/>
          <w:iCs/>
          <w:color w:val="auto"/>
        </w:rPr>
        <w:t xml:space="preserve"> </w:t>
      </w:r>
      <w:r>
        <w:rPr>
          <w:rFonts w:hAnsi="SimSun" w:eastAsia="SimSun" w:cs="SimSun"/>
          <w:color w:val="auto"/>
        </w:rPr>
        <w:t>(2001) propose that financial crunch in Indonesia during economy crisis in 1997-2001 is caused by supply instead of demand.</w:t>
      </w:r>
    </w:p>
    <w:p>
      <w:pPr>
        <w:autoSpaceDE w:val="0"/>
        <w:autoSpaceDN w:val="0"/>
        <w:adjustRightInd w:val="0"/>
        <w:spacing w:after="0" w:line="240" w:lineRule="auto"/>
        <w:ind w:left="40" w:leftChars="18" w:firstLine="320"/>
        <w:jc w:val="both"/>
        <w:rPr>
          <w:rFonts w:hAnsi="SimSun" w:eastAsia="SimSun" w:cs="SimSun"/>
          <w:color w:val="auto"/>
          <w:lang w:val="en-US"/>
        </w:rPr>
      </w:pPr>
      <w:r>
        <w:rPr>
          <w:rFonts w:hAnsi="SimSun" w:eastAsia="SimSun" w:cs="SimSun"/>
          <w:color w:val="auto"/>
        </w:rPr>
        <w:t>The development of sharia banking in Indonesia has become a benchmark for success of sharia economy existence. The monetary crisis which takes place in 1998 has drowned conventional banks and many are liquidated because of their interest system failure. Meanwhile, banks which apply sharia system continue to exist and survive, as proven with Bank Muamalat Indonesia's success to pass the 1998 crisis while showing increasing performance although without Government's assistance, and it even gain profit of more than Rp. 300 Billion (Swandayani</w:t>
      </w:r>
      <w:r>
        <w:rPr>
          <w:rFonts w:hAnsi="SimSun" w:eastAsia="SimSun" w:cs="SimSun"/>
          <w:color w:val="auto"/>
          <w:lang w:val="en-US"/>
        </w:rPr>
        <w:t xml:space="preserve"> and Kurniasih</w:t>
      </w:r>
      <w:r>
        <w:rPr>
          <w:rFonts w:hAnsi="SimSun" w:eastAsia="SimSun" w:cs="SimSun"/>
          <w:i/>
          <w:iCs/>
          <w:color w:val="auto"/>
        </w:rPr>
        <w:t>,</w:t>
      </w:r>
      <w:r>
        <w:rPr>
          <w:rFonts w:hAnsi="SimSun" w:eastAsia="SimSun" w:cs="SimSun"/>
          <w:color w:val="auto"/>
        </w:rPr>
        <w:t xml:space="preserve"> 2012).</w:t>
      </w:r>
      <w:r>
        <w:rPr>
          <w:rFonts w:hAnsi="SimSun" w:eastAsia="SimSun" w:cs="SimSun"/>
          <w:color w:val="auto"/>
          <w:lang w:val="en-US"/>
        </w:rPr>
        <w:t xml:space="preserve"> The full effect of how global crisis affected Islamic banks is not clear, particularly in the areas of asset quality, quality of management and liquidity (Alqahtani </w:t>
      </w:r>
      <w:r>
        <w:rPr>
          <w:rFonts w:hAnsi="SimSun" w:eastAsia="SimSun" w:cs="SimSun"/>
          <w:i/>
          <w:iCs/>
          <w:color w:val="auto"/>
          <w:lang w:val="en-US"/>
        </w:rPr>
        <w:t>et al,</w:t>
      </w:r>
      <w:r>
        <w:rPr>
          <w:rFonts w:hAnsi="SimSun" w:eastAsia="SimSun" w:cs="SimSun"/>
          <w:color w:val="auto"/>
          <w:lang w:val="en-US"/>
        </w:rPr>
        <w:t xml:space="preserve"> 2017)</w:t>
      </w:r>
    </w:p>
    <w:p>
      <w:pPr>
        <w:autoSpaceDE w:val="0"/>
        <w:autoSpaceDN w:val="0"/>
        <w:adjustRightInd w:val="0"/>
        <w:spacing w:after="0" w:line="240" w:lineRule="auto"/>
        <w:ind w:left="40" w:leftChars="18" w:firstLine="320"/>
        <w:jc w:val="both"/>
        <w:rPr>
          <w:rFonts w:hAnsi="SimSun" w:eastAsia="SimSun" w:cs="SimSun"/>
          <w:color w:val="auto"/>
          <w:lang w:val="en-US"/>
        </w:rPr>
      </w:pPr>
      <w:r>
        <w:rPr>
          <w:rFonts w:hAnsi="SimSun" w:eastAsia="SimSun" w:cs="SimSun"/>
          <w:color w:val="auto"/>
        </w:rPr>
        <w:t>The literary study shows that the reasons of bank financing decreasing distribution to private sectors in Asia after the 1997 crisis are still debated by economists (Agenor</w:t>
      </w:r>
      <w:r>
        <w:rPr>
          <w:rFonts w:hAnsi="SimSun" w:eastAsia="SimSun" w:cs="SimSun"/>
          <w:color w:val="auto"/>
          <w:lang w:val="en-US"/>
        </w:rPr>
        <w:t>,</w:t>
      </w:r>
      <w:r>
        <w:rPr>
          <w:rFonts w:hAnsi="SimSun" w:eastAsia="SimSun" w:cs="SimSun"/>
          <w:color w:val="auto"/>
        </w:rPr>
        <w:t xml:space="preserve"> 200</w:t>
      </w:r>
      <w:r>
        <w:rPr>
          <w:rFonts w:hAnsi="SimSun" w:eastAsia="SimSun" w:cs="SimSun"/>
          <w:color w:val="auto"/>
          <w:lang w:val="en-US"/>
        </w:rPr>
        <w:t>4</w:t>
      </w:r>
      <w:r>
        <w:rPr>
          <w:rFonts w:hAnsi="SimSun" w:eastAsia="SimSun" w:cs="SimSun"/>
          <w:color w:val="auto"/>
        </w:rPr>
        <w:t>). Some economists argue that the decrease of bank financing distribution is caused by financial crunch which gives rise to credit rationing phenomena, thus bank financing supply decreases (supply side constraint). Other economists argue that the decrease of bank financing distribution is caused by the decrease of financing demand (demand side constraint) as a logical consequence of aggregate demand contraction and output decrease after crisis.</w:t>
      </w:r>
      <w:r>
        <w:rPr>
          <w:rFonts w:hAnsi="SimSun" w:eastAsia="SimSun" w:cs="SimSun"/>
          <w:color w:val="auto"/>
          <w:lang w:val="en-US"/>
        </w:rPr>
        <w:t xml:space="preserve"> Islamic banks have a higher liquidity risk, lower credit risk, lower insolvency risk, but encounter similiar operational risk in comparison with conventional bank (Safiullah and Shamsuddin, 2017)</w:t>
      </w:r>
    </w:p>
    <w:p>
      <w:pPr>
        <w:autoSpaceDE w:val="0"/>
        <w:autoSpaceDN w:val="0"/>
        <w:adjustRightInd w:val="0"/>
        <w:spacing w:after="0" w:line="240" w:lineRule="auto"/>
        <w:ind w:left="40" w:leftChars="18" w:firstLine="320"/>
        <w:jc w:val="both"/>
        <w:rPr>
          <w:rFonts w:asciiTheme="minorHAnsi" w:hAnsiTheme="minorHAnsi"/>
          <w:lang w:val="en-US"/>
        </w:rPr>
      </w:pPr>
      <w:r>
        <w:rPr>
          <w:rFonts w:hAnsi="SimSun" w:eastAsia="SimSun" w:cs="SimSun"/>
          <w:color w:val="auto"/>
          <w:lang w:val="en-US"/>
        </w:rPr>
        <w:t>According to Agenor (2004) that wheather t</w:t>
      </w:r>
      <w:r>
        <w:rPr>
          <w:rFonts w:hAnsi="SimSun" w:eastAsia="SimSun" w:cs="SimSun"/>
          <w:color w:val="auto"/>
        </w:rPr>
        <w:t>he reason of bank financing decreasing distribution is financing demand factor or financing supply factor has important implication for fiscal and monetary policies. For example, if banks are reluctant to distribute financing since they consider that in case of failure risk increase which cannot be internalized with borrowing cost increase, fiscal policy which tries to increase liquidity in order to stimulate aggregate demand will not effectively increase financing demand. On the contrary, in case low financing distribution is because business sectors reduce their demand for financing since they consider weak future demand (demand side), expansion fiscal policy may be able to promote aggregate demand and financing expansion. From monetary policy perspective, financial crunch which takes place because banks are reluctant to distribute financing causes relatively freed up monetary policy which cannot be transmitted to real sector through lending. In addition, financial crunch may also reduce the movement space for monetary policy, since in such condition, interest rate raising monetary policy will worsen business world condition.</w:t>
      </w:r>
      <w:r>
        <w:rPr>
          <w:rFonts w:hAnsi="SimSun" w:eastAsia="SimSun" w:cs="SimSun"/>
          <w:color w:val="auto"/>
          <w:lang w:val="en-US"/>
        </w:rPr>
        <w:t xml:space="preserve"> Kabir </w:t>
      </w:r>
      <w:bookmarkStart w:id="0" w:name="_GoBack"/>
      <w:r>
        <w:rPr>
          <w:rFonts w:hAnsi="SimSun" w:eastAsia="SimSun" w:cs="SimSun"/>
          <w:i/>
          <w:iCs/>
          <w:color w:val="auto"/>
          <w:lang w:val="en-US"/>
        </w:rPr>
        <w:t>et al (</w:t>
      </w:r>
      <w:bookmarkEnd w:id="0"/>
      <w:r>
        <w:rPr>
          <w:rFonts w:hAnsi="SimSun" w:eastAsia="SimSun" w:cs="SimSun"/>
          <w:color w:val="auto"/>
          <w:lang w:val="en-US"/>
        </w:rPr>
        <w:t>2017) said that Islamic Banks have significantly lower credit risk than conventional banks as based on Distance to Default (DD) model.</w:t>
      </w:r>
    </w:p>
    <w:p>
      <w:pPr>
        <w:pStyle w:val="19"/>
        <w:rPr>
          <w:rFonts w:asciiTheme="minorHAnsi" w:hAnsiTheme="minorHAnsi"/>
        </w:rPr>
      </w:pPr>
      <w:r>
        <w:rPr>
          <w:rFonts w:asciiTheme="minorHAnsi" w:hAnsiTheme="minorHAnsi"/>
          <w:lang w:val="en-US"/>
        </w:rPr>
        <w:t>Method</w:t>
      </w:r>
    </w:p>
    <w:p>
      <w:pPr>
        <w:pStyle w:val="3"/>
        <w:rPr>
          <w:rFonts w:ascii="Calibri" w:hAnsi="Calibri"/>
          <w:color w:val="auto"/>
          <w:lang w:val="en-US"/>
        </w:rPr>
      </w:pPr>
      <w:r>
        <w:rPr>
          <w:rFonts w:ascii="Calibri"/>
          <w:color w:val="auto"/>
          <w:szCs w:val="22"/>
          <w:lang w:val="en-US"/>
        </w:rPr>
        <w:t>The data are obtained from formal and non-formal documents and publications of BPS, Bank Indonesia and OJK. The data which will be used are in the form of consecutively monthly data from January 2003  June 2015 pursuant to what the research needs, in the form of aggregate data of financing condition and characteristics of all Sharia Banks in Indonesia obtained from Bank Indonesia. The free variables in this research are</w:t>
      </w:r>
      <w:r>
        <w:rPr>
          <w:rFonts w:ascii="Calibri"/>
          <w:bCs/>
          <w:color w:val="auto"/>
          <w:szCs w:val="22"/>
          <w:lang w:val="en-US"/>
        </w:rPr>
        <w:t xml:space="preserve"> </w:t>
      </w:r>
      <w:r>
        <w:rPr>
          <w:rFonts w:ascii="Calibri"/>
          <w:bCs/>
          <w:iCs/>
          <w:color w:val="auto"/>
          <w:szCs w:val="22"/>
          <w:lang w:val="en-US"/>
        </w:rPr>
        <w:t>Financial Crunch</w:t>
      </w:r>
      <w:r>
        <w:rPr>
          <w:rFonts w:ascii="Calibri"/>
          <w:bCs/>
          <w:i/>
          <w:color w:val="auto"/>
          <w:szCs w:val="22"/>
          <w:lang w:val="en-US"/>
        </w:rPr>
        <w:t xml:space="preserve">, </w:t>
      </w:r>
      <w:r>
        <w:rPr>
          <w:rFonts w:ascii="Calibri"/>
          <w:bCs/>
          <w:color w:val="auto"/>
          <w:szCs w:val="22"/>
          <w:lang w:val="en-US"/>
        </w:rPr>
        <w:t xml:space="preserve">Third Party Fund (DPK), </w:t>
      </w:r>
      <w:r>
        <w:rPr>
          <w:rFonts w:ascii="Calibri"/>
          <w:bCs/>
          <w:iCs/>
          <w:color w:val="auto"/>
          <w:szCs w:val="22"/>
          <w:lang w:val="en-US"/>
        </w:rPr>
        <w:t>Non Performing Financing</w:t>
      </w:r>
      <w:r>
        <w:rPr>
          <w:rFonts w:ascii="Calibri"/>
          <w:bCs/>
          <w:color w:val="auto"/>
          <w:szCs w:val="22"/>
          <w:lang w:val="en-US"/>
        </w:rPr>
        <w:t xml:space="preserve"> (NPF), Profit Sharing Rate (TBH)</w:t>
      </w:r>
      <w:r>
        <w:rPr>
          <w:rFonts w:ascii="Calibri"/>
          <w:color w:val="auto"/>
          <w:szCs w:val="22"/>
          <w:lang w:val="en-US"/>
        </w:rPr>
        <w:t xml:space="preserve">, Bank Indonesia Certificate (SBI), </w:t>
      </w:r>
      <w:r>
        <w:rPr>
          <w:rFonts w:ascii="Calibri"/>
          <w:bCs/>
          <w:color w:val="auto"/>
          <w:szCs w:val="22"/>
          <w:lang w:val="en-US"/>
        </w:rPr>
        <w:t>Bank Indonesia Wadiah Certificate (SWBI) and Gross Domestic Product (PDB)</w:t>
      </w:r>
      <w:r>
        <w:rPr>
          <w:rFonts w:ascii="Calibri" w:hAnsi="Calibri"/>
          <w:color w:val="auto"/>
          <w:lang w:val="en-US"/>
        </w:rPr>
        <w:t>.</w:t>
      </w:r>
    </w:p>
    <w:p>
      <w:pPr>
        <w:numPr>
          <w:ilvl w:val="0"/>
          <w:numId w:val="0"/>
        </w:numPr>
        <w:autoSpaceDE w:val="0"/>
        <w:autoSpaceDN w:val="0"/>
        <w:adjustRightInd w:val="0"/>
        <w:spacing w:after="0" w:line="240" w:lineRule="auto"/>
        <w:ind w:leftChars="0"/>
        <w:rPr>
          <w:rFonts w:hAnsi="Times New Roman" w:cs="Times New Roman" w:asciiTheme="minorAscii"/>
          <w:b/>
          <w:bCs/>
          <w:sz w:val="22"/>
          <w:szCs w:val="22"/>
        </w:rPr>
      </w:pPr>
      <w:r>
        <w:rPr>
          <w:rFonts w:hAnsi="Times New Roman" w:cs="Times New Roman" w:asciiTheme="minorAscii"/>
          <w:b/>
          <w:bCs/>
          <w:sz w:val="22"/>
          <w:szCs w:val="22"/>
          <w:lang w:val="en-US"/>
        </w:rPr>
        <w:t xml:space="preserve">2.1 </w:t>
      </w:r>
      <w:r>
        <w:rPr>
          <w:rFonts w:hAnsi="Times New Roman"/>
          <w:b/>
          <w:bCs/>
          <w:color w:val="auto"/>
        </w:rPr>
        <w:t>Data Stationarity Test</w:t>
      </w:r>
    </w:p>
    <w:p>
      <w:pPr>
        <w:autoSpaceDE w:val="0"/>
        <w:autoSpaceDN w:val="0"/>
        <w:adjustRightInd w:val="0"/>
        <w:spacing w:after="0" w:line="240" w:lineRule="auto"/>
        <w:ind w:firstLine="360"/>
        <w:jc w:val="both"/>
        <w:rPr>
          <w:rFonts w:hAnsi="Times New Roman" w:eastAsia="TimesNewRoman"/>
          <w:color w:val="auto"/>
        </w:rPr>
      </w:pPr>
      <w:r>
        <w:rPr>
          <w:rFonts w:hAnsi="Times New Roman" w:eastAsia="TimesNewRoman"/>
          <w:color w:val="auto"/>
        </w:rPr>
        <w:t xml:space="preserve">A unit roots test is employed to examine whether the </w:t>
      </w:r>
      <w:r>
        <w:rPr>
          <w:rFonts w:hAnsi="Times New Roman" w:eastAsia="TimesNewRoman"/>
          <w:iCs/>
          <w:color w:val="auto"/>
        </w:rPr>
        <w:t>time series</w:t>
      </w:r>
      <w:r>
        <w:rPr>
          <w:rFonts w:hAnsi="Times New Roman" w:eastAsia="TimesNewRoman"/>
          <w:color w:val="auto"/>
        </w:rPr>
        <w:t xml:space="preserve"> data in use are stationary or not. This test is required to make the data stationary, since non-stationary data will result in </w:t>
      </w:r>
      <w:r>
        <w:rPr>
          <w:rFonts w:hAnsi="Times New Roman" w:eastAsia="TimesNewRoman"/>
          <w:iCs/>
          <w:color w:val="auto"/>
        </w:rPr>
        <w:t>spurious regression</w:t>
      </w:r>
      <w:r>
        <w:rPr>
          <w:rFonts w:hAnsi="Times New Roman" w:eastAsia="TimesNewRoman"/>
          <w:color w:val="auto"/>
        </w:rPr>
        <w:t xml:space="preserve"> phenomenon, which is regression which describes the relationship of two or more variables which seem statistically significant while in fact is not as high as the resulted regression. According to Granger and Newbold in </w:t>
      </w:r>
      <w:r>
        <w:rPr>
          <w:rFonts w:hAnsi="Times New Roman" w:eastAsia="TimesNewRoman"/>
          <w:color w:val="auto"/>
          <w:lang w:val="en-US"/>
        </w:rPr>
        <w:t>Gujarati (2003)</w:t>
      </w:r>
      <w:r>
        <w:rPr>
          <w:rFonts w:hAnsi="Times New Roman" w:eastAsia="TimesNewRoman"/>
          <w:color w:val="auto"/>
        </w:rPr>
        <w:t xml:space="preserve"> a characteristic of false regression is R</w:t>
      </w:r>
      <w:r>
        <w:rPr>
          <w:rFonts w:hAnsi="Times New Roman" w:eastAsia="TimesNewRoman"/>
          <w:color w:val="auto"/>
          <w:vertAlign w:val="superscript"/>
        </w:rPr>
        <w:t xml:space="preserve">2 </w:t>
      </w:r>
      <w:r>
        <w:rPr>
          <w:rFonts w:hAnsi="Times New Roman" w:eastAsia="TimesNewRoman"/>
          <w:color w:val="auto"/>
        </w:rPr>
        <w:t>&gt; Durbin Watson Statistic value, thus it will cause autocorrelation.</w:t>
      </w:r>
    </w:p>
    <w:p>
      <w:pPr>
        <w:autoSpaceDE w:val="0"/>
        <w:autoSpaceDN w:val="0"/>
        <w:adjustRightInd w:val="0"/>
        <w:spacing w:after="0" w:line="240" w:lineRule="auto"/>
        <w:ind w:firstLine="360"/>
        <w:jc w:val="both"/>
        <w:rPr>
          <w:rFonts w:hAnsi="Times New Roman"/>
          <w:color w:val="auto"/>
        </w:rPr>
      </w:pPr>
      <w:r>
        <w:rPr>
          <w:rFonts w:hAnsi="Times New Roman" w:eastAsia="TimesNewRoman"/>
          <w:color w:val="auto"/>
        </w:rPr>
        <w:t xml:space="preserve">A method to test data stationarity is The Augmented Dickey-Fuller (ADF) test. The Augmented Dickey Fuller (ADF) test, which is expansion of DF test, has the following three alternative models </w:t>
      </w:r>
      <w:r>
        <w:rPr>
          <w:rFonts w:hAnsi="Times New Roman" w:eastAsia="TimesNewRoman"/>
          <w:i w:val="0"/>
          <w:iCs w:val="0"/>
          <w:color w:val="auto"/>
          <w:lang w:val="en-US"/>
        </w:rPr>
        <w:t>Gujarati (2003).</w:t>
      </w:r>
    </w:p>
    <w:p>
      <w:pPr>
        <w:autoSpaceDE w:val="0"/>
        <w:autoSpaceDN w:val="0"/>
        <w:adjustRightInd w:val="0"/>
        <w:spacing w:after="0" w:line="240" w:lineRule="auto"/>
        <w:ind w:firstLine="360"/>
        <w:jc w:val="both"/>
        <w:rPr>
          <w:rFonts w:hAnsi="Times New Roman" w:eastAsia="TimesNewRoman"/>
          <w:color w:val="auto"/>
        </w:rPr>
      </w:pPr>
      <w:r>
        <w:rPr>
          <w:rFonts w:hAnsi="Times New Roman" w:eastAsia="TimesNewRoman"/>
          <w:color w:val="auto"/>
        </w:rPr>
        <w:t>Whether stationary data may or may not be examined is viewed by comparing between DF or ADF statistic value with the critical value. If the DF or ADF absolute statistic value is higher than the critical value, the data are stationary and if otherwise, the data are not stationary.</w:t>
      </w:r>
    </w:p>
    <w:p>
      <w:pPr>
        <w:numPr>
          <w:ilvl w:val="0"/>
          <w:numId w:val="0"/>
        </w:numPr>
        <w:autoSpaceDE w:val="0"/>
        <w:autoSpaceDN w:val="0"/>
        <w:adjustRightInd w:val="0"/>
        <w:spacing w:after="0" w:line="240" w:lineRule="auto"/>
        <w:ind w:leftChars="0"/>
        <w:rPr>
          <w:rFonts w:hAnsi="Times New Roman" w:cs="Times New Roman" w:asciiTheme="minorAscii"/>
          <w:b/>
          <w:bCs/>
          <w:sz w:val="22"/>
          <w:szCs w:val="22"/>
        </w:rPr>
      </w:pPr>
    </w:p>
    <w:p>
      <w:pPr>
        <w:numPr>
          <w:ilvl w:val="0"/>
          <w:numId w:val="0"/>
        </w:numPr>
        <w:autoSpaceDE w:val="0"/>
        <w:autoSpaceDN w:val="0"/>
        <w:adjustRightInd w:val="0"/>
        <w:spacing w:after="0" w:line="240" w:lineRule="auto"/>
        <w:ind w:leftChars="0"/>
        <w:rPr>
          <w:rFonts w:hAnsi="Times New Roman" w:eastAsia="TimesNewRoman" w:cs="Times New Roman" w:asciiTheme="minorAscii"/>
          <w:b/>
          <w:bCs w:val="0"/>
          <w:color w:val="auto"/>
          <w:sz w:val="22"/>
          <w:szCs w:val="22"/>
          <w:lang w:val="en-US"/>
        </w:rPr>
      </w:pPr>
      <w:r>
        <w:rPr>
          <w:rFonts w:hAnsi="Times New Roman" w:cs="Times New Roman" w:asciiTheme="minorAscii"/>
          <w:b/>
          <w:bCs w:val="0"/>
          <w:color w:val="auto"/>
          <w:sz w:val="22"/>
          <w:szCs w:val="22"/>
          <w:lang w:val="en-US"/>
        </w:rPr>
        <w:t>2.2 Model Estimation</w:t>
      </w:r>
      <w:r>
        <w:rPr>
          <w:rFonts w:hAnsi="Times New Roman"/>
          <w:b/>
          <w:color w:val="auto"/>
        </w:rPr>
        <w:t>.</w:t>
      </w:r>
    </w:p>
    <w:p>
      <w:pPr>
        <w:autoSpaceDE w:val="0"/>
        <w:autoSpaceDN w:val="0"/>
        <w:adjustRightInd w:val="0"/>
        <w:spacing w:after="0" w:line="240" w:lineRule="auto"/>
        <w:ind w:firstLine="360"/>
        <w:jc w:val="both"/>
        <w:rPr>
          <w:rFonts w:hAnsi="Times New Roman"/>
        </w:rPr>
      </w:pPr>
      <w:r>
        <w:rPr>
          <w:rFonts w:hAnsi="Times New Roman"/>
        </w:rPr>
        <w:t xml:space="preserve">Financial crunch test is conducted by identifying whether financing distributed by sharia banks is caused more by supply or demand. This identification is conducted using simultaneous equation to obtain information whether actual existing financing can be connected to financing supply or financing demand function. Sharia commercial bank balanced financing demand and supply are achieved when </w:t>
      </w:r>
    </w:p>
    <w:p>
      <w:pPr>
        <w:autoSpaceDE w:val="0"/>
        <w:autoSpaceDN w:val="0"/>
        <w:adjustRightInd w:val="0"/>
        <w:spacing w:after="0" w:line="240" w:lineRule="auto"/>
        <w:ind w:left="460" w:leftChars="209" w:firstLine="500"/>
        <w:jc w:val="both"/>
        <w:rPr>
          <w:rFonts w:hAnsi="Times New Roman"/>
          <w:b/>
          <w:bCs/>
        </w:rPr>
      </w:pPr>
      <w:r>
        <w:rPr>
          <w:rFonts w:hAnsi="Times New Roman"/>
          <w:b/>
          <w:bCs/>
        </w:rPr>
        <w:t>Ln SPem = Ln DPemb ………………………               (1)</w:t>
      </w:r>
    </w:p>
    <w:p>
      <w:pPr>
        <w:autoSpaceDE w:val="0"/>
        <w:autoSpaceDN w:val="0"/>
        <w:adjustRightInd w:val="0"/>
        <w:spacing w:after="0" w:line="240" w:lineRule="auto"/>
        <w:ind w:firstLine="360"/>
        <w:jc w:val="both"/>
        <w:rPr>
          <w:rFonts w:hAnsi="Times New Roman"/>
        </w:rPr>
      </w:pPr>
      <w:r>
        <w:rPr>
          <w:rFonts w:hAnsi="Times New Roman"/>
        </w:rPr>
        <w:t>If the financing market is perfectly working, profit sharing rate will always be adjusted to ensure that supply is equal to demand. However, when financing is not perfectly working, in which profit sharing rate is not adjusted or financial crunch takes place, then financing supply (SPem) is not always equal to financing demand (DPemb), thus the financing level may be formulated as follows:</w:t>
      </w:r>
    </w:p>
    <w:p>
      <w:pPr>
        <w:autoSpaceDE w:val="0"/>
        <w:autoSpaceDN w:val="0"/>
        <w:adjustRightInd w:val="0"/>
        <w:spacing w:after="0" w:line="240" w:lineRule="auto"/>
        <w:ind w:left="460" w:leftChars="209" w:firstLine="500"/>
        <w:jc w:val="both"/>
        <w:rPr>
          <w:rFonts w:hAnsi="Times New Roman"/>
          <w:b/>
          <w:bCs/>
        </w:rPr>
      </w:pPr>
      <w:r>
        <w:rPr>
          <w:rFonts w:hAnsi="Times New Roman"/>
          <w:b/>
          <w:bCs/>
        </w:rPr>
        <w:t>Pem</w:t>
      </w:r>
      <w:r>
        <w:rPr>
          <w:rFonts w:hAnsi="Times New Roman"/>
          <w:b/>
          <w:bCs/>
          <w:vertAlign w:val="subscript"/>
        </w:rPr>
        <w:t>t</w:t>
      </w:r>
      <w:r>
        <w:rPr>
          <w:rFonts w:hAnsi="Times New Roman"/>
          <w:b/>
          <w:bCs/>
        </w:rPr>
        <w:t xml:space="preserve"> = min (Ln SPem = Ln DPemb)……………  (2)</w:t>
      </w:r>
    </w:p>
    <w:p>
      <w:pPr>
        <w:autoSpaceDE w:val="0"/>
        <w:autoSpaceDN w:val="0"/>
        <w:adjustRightInd w:val="0"/>
        <w:spacing w:after="0" w:line="240" w:lineRule="auto"/>
        <w:ind w:firstLine="360"/>
        <w:jc w:val="both"/>
        <w:rPr>
          <w:rFonts w:hAnsi="Times New Roman"/>
        </w:rPr>
      </w:pPr>
      <w:r>
        <w:rPr>
          <w:rFonts w:hAnsi="Times New Roman"/>
        </w:rPr>
        <w:t xml:space="preserve">In this empirical model, real financial supply (LS) is determined by DPK, NPF, TBH and SWBI. The relationship may mathematically be written as follows. </w:t>
      </w:r>
    </w:p>
    <w:p>
      <w:pPr>
        <w:tabs>
          <w:tab w:val="left" w:pos="1985"/>
        </w:tabs>
        <w:autoSpaceDE w:val="0"/>
        <w:autoSpaceDN w:val="0"/>
        <w:adjustRightInd w:val="0"/>
        <w:spacing w:after="0" w:line="240" w:lineRule="auto"/>
        <w:ind w:left="2125" w:leftChars="386" w:hanging="1276"/>
        <w:jc w:val="both"/>
        <w:rPr>
          <w:rFonts w:hAnsi="Times New Roman"/>
          <w:b/>
          <w:bCs/>
        </w:rPr>
      </w:pPr>
      <w:r>
        <w:rPr>
          <w:rFonts w:hAnsi="Times New Roman"/>
          <w:b/>
          <w:bCs/>
        </w:rPr>
        <w:t>Ln  SPemb</w:t>
      </w:r>
      <w:r>
        <w:rPr>
          <w:rFonts w:hAnsi="Times New Roman"/>
          <w:b/>
          <w:bCs/>
          <w:vertAlign w:val="subscript"/>
        </w:rPr>
        <w:t>t</w:t>
      </w:r>
      <w:r>
        <w:rPr>
          <w:rFonts w:hAnsi="Times New Roman"/>
          <w:b/>
          <w:bCs/>
        </w:rPr>
        <w:tab/>
      </w:r>
      <w:r>
        <w:rPr>
          <w:rFonts w:hAnsi="Times New Roman"/>
          <w:b/>
          <w:bCs/>
        </w:rPr>
        <w:t>=</w:t>
      </w:r>
      <w:r>
        <w:rPr>
          <w:rFonts w:hAnsi="Times New Roman"/>
          <w:b/>
          <w:bCs/>
        </w:rPr>
        <w:tab/>
      </w:r>
      <w:r>
        <w:rPr>
          <w:rFonts w:hAnsi="Times New Roman"/>
          <w:b/>
          <w:bCs/>
        </w:rPr>
        <w:t>α</w:t>
      </w:r>
      <w:r>
        <w:rPr>
          <w:rFonts w:hAnsi="Times New Roman"/>
          <w:b/>
          <w:bCs/>
          <w:vertAlign w:val="subscript"/>
        </w:rPr>
        <w:t>0</w:t>
      </w:r>
      <w:r>
        <w:rPr>
          <w:rFonts w:hAnsi="Times New Roman"/>
          <w:b/>
          <w:bCs/>
        </w:rPr>
        <w:t xml:space="preserve"> + α</w:t>
      </w:r>
      <w:r>
        <w:rPr>
          <w:rFonts w:hAnsi="Times New Roman"/>
          <w:b/>
          <w:bCs/>
          <w:vertAlign w:val="subscript"/>
        </w:rPr>
        <w:t>1</w:t>
      </w:r>
      <w:r>
        <w:rPr>
          <w:rFonts w:hAnsi="Times New Roman"/>
          <w:b/>
          <w:bCs/>
        </w:rPr>
        <w:t>Ln DPK</w:t>
      </w:r>
      <w:r>
        <w:rPr>
          <w:rFonts w:hAnsi="Times New Roman"/>
          <w:b/>
          <w:bCs/>
          <w:vertAlign w:val="subscript"/>
        </w:rPr>
        <w:t>t</w:t>
      </w:r>
      <w:r>
        <w:rPr>
          <w:rFonts w:hAnsi="Times New Roman"/>
          <w:b/>
          <w:bCs/>
        </w:rPr>
        <w:t xml:space="preserve"> + α</w:t>
      </w:r>
      <w:r>
        <w:rPr>
          <w:rFonts w:hAnsi="Times New Roman"/>
          <w:b/>
          <w:bCs/>
          <w:vertAlign w:val="subscript"/>
        </w:rPr>
        <w:t>2</w:t>
      </w:r>
      <w:r>
        <w:rPr>
          <w:rFonts w:hAnsi="Times New Roman"/>
          <w:b/>
          <w:bCs/>
        </w:rPr>
        <w:t xml:space="preserve"> NPF</w:t>
      </w:r>
      <w:r>
        <w:rPr>
          <w:rFonts w:hAnsi="Times New Roman"/>
          <w:b/>
          <w:bCs/>
          <w:vertAlign w:val="subscript"/>
        </w:rPr>
        <w:t>t</w:t>
      </w:r>
      <w:r>
        <w:rPr>
          <w:rFonts w:hAnsi="Times New Roman"/>
          <w:b/>
          <w:bCs/>
        </w:rPr>
        <w:t xml:space="preserve"> + α</w:t>
      </w:r>
      <w:r>
        <w:rPr>
          <w:rFonts w:hAnsi="Times New Roman"/>
          <w:b/>
          <w:bCs/>
          <w:vertAlign w:val="subscript"/>
        </w:rPr>
        <w:t>3</w:t>
      </w:r>
      <w:r>
        <w:rPr>
          <w:rFonts w:hAnsi="Times New Roman"/>
          <w:b/>
          <w:bCs/>
        </w:rPr>
        <w:t>TBH</w:t>
      </w:r>
      <w:r>
        <w:rPr>
          <w:rFonts w:hAnsi="Times New Roman"/>
          <w:b/>
          <w:bCs/>
          <w:vertAlign w:val="subscript"/>
        </w:rPr>
        <w:t>t</w:t>
      </w:r>
      <w:r>
        <w:rPr>
          <w:rFonts w:hAnsi="Times New Roman"/>
          <w:b/>
          <w:bCs/>
        </w:rPr>
        <w:t>+ α</w:t>
      </w:r>
      <w:r>
        <w:rPr>
          <w:rFonts w:hAnsi="Times New Roman"/>
          <w:b/>
          <w:bCs/>
          <w:vertAlign w:val="subscript"/>
        </w:rPr>
        <w:t>4</w:t>
      </w:r>
      <w:r>
        <w:rPr>
          <w:rFonts w:hAnsi="Times New Roman"/>
          <w:b/>
          <w:bCs/>
        </w:rPr>
        <w:t>Ln SWB</w:t>
      </w:r>
      <w:r>
        <w:rPr>
          <w:rFonts w:hAnsi="Times New Roman"/>
          <w:b/>
          <w:bCs/>
          <w:vertAlign w:val="subscript"/>
        </w:rPr>
        <w:t>t</w:t>
      </w:r>
      <w:r>
        <w:rPr>
          <w:rFonts w:hAnsi="Times New Roman"/>
          <w:b/>
          <w:bCs/>
        </w:rPr>
        <w:t xml:space="preserve"> + ε</w:t>
      </w:r>
      <w:r>
        <w:rPr>
          <w:rFonts w:hAnsi="Times New Roman"/>
          <w:b/>
          <w:bCs/>
          <w:vertAlign w:val="subscript"/>
        </w:rPr>
        <w:t>t</w:t>
      </w:r>
      <w:r>
        <w:rPr>
          <w:rFonts w:hAnsi="Times New Roman"/>
          <w:b/>
          <w:bCs/>
        </w:rPr>
        <w:t xml:space="preserve"> …..(3)</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α</w:t>
      </w:r>
      <w:r>
        <w:rPr>
          <w:rFonts w:hAnsi="Times New Roman"/>
          <w:vertAlign w:val="subscript"/>
        </w:rPr>
        <w:t xml:space="preserve">0 </w:t>
      </w:r>
      <w:r>
        <w:rPr>
          <w:rFonts w:hAnsi="Times New Roman"/>
          <w:vertAlign w:val="subscript"/>
        </w:rPr>
        <w:tab/>
      </w:r>
      <w:r>
        <w:rPr>
          <w:rFonts w:hAnsi="Times New Roman"/>
        </w:rPr>
        <w:t>:</w:t>
      </w:r>
      <w:r>
        <w:rPr>
          <w:rFonts w:hAnsi="Times New Roman"/>
        </w:rPr>
        <w:tab/>
      </w:r>
      <w:r>
        <w:rPr>
          <w:rFonts w:hAnsi="Times New Roman"/>
        </w:rPr>
        <w:t>Constant of financing supply equation</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α</w:t>
      </w:r>
      <w:r>
        <w:rPr>
          <w:rFonts w:hAnsi="Times New Roman"/>
          <w:vertAlign w:val="subscript"/>
        </w:rPr>
        <w:t>1</w:t>
      </w:r>
      <w:r>
        <w:rPr>
          <w:rFonts w:hAnsi="Times New Roman"/>
          <w:vertAlign w:val="subscript"/>
        </w:rPr>
        <w:tab/>
      </w:r>
      <w:r>
        <w:rPr>
          <w:rFonts w:hAnsi="Times New Roman"/>
        </w:rPr>
        <w:t>:</w:t>
      </w:r>
      <w:r>
        <w:rPr>
          <w:rFonts w:hAnsi="Times New Roman"/>
        </w:rPr>
        <w:tab/>
      </w:r>
      <w:r>
        <w:rPr>
          <w:rFonts w:hAnsi="Times New Roman"/>
        </w:rPr>
        <w:t>Regression coefficient of financing supply equation (i=1, 2, 3, 4)</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SPemb</w:t>
      </w:r>
      <w:r>
        <w:rPr>
          <w:rFonts w:hAnsi="Times New Roman"/>
          <w:vertAlign w:val="subscript"/>
        </w:rPr>
        <w:t>t</w:t>
      </w:r>
      <w:r>
        <w:rPr>
          <w:rFonts w:hAnsi="Times New Roman"/>
          <w:vertAlign w:val="subscript"/>
        </w:rPr>
        <w:tab/>
      </w:r>
      <w:r>
        <w:rPr>
          <w:rFonts w:hAnsi="Times New Roman"/>
        </w:rPr>
        <w:t>:</w:t>
      </w:r>
      <w:r>
        <w:rPr>
          <w:rFonts w:hAnsi="Times New Roman"/>
        </w:rPr>
        <w:tab/>
      </w:r>
      <w:r>
        <w:rPr>
          <w:rFonts w:hAnsi="Times New Roman"/>
        </w:rPr>
        <w:t>Financing supply (billion Rupiahs)</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DPK </w:t>
      </w:r>
      <w:r>
        <w:rPr>
          <w:rFonts w:hAnsi="Times New Roman"/>
        </w:rPr>
        <w:tab/>
      </w:r>
      <w:r>
        <w:rPr>
          <w:rFonts w:hAnsi="Times New Roman"/>
        </w:rPr>
        <w:t>:</w:t>
      </w:r>
      <w:r>
        <w:rPr>
          <w:rFonts w:hAnsi="Times New Roman"/>
        </w:rPr>
        <w:tab/>
      </w:r>
      <w:r>
        <w:rPr>
          <w:rFonts w:hAnsi="Times New Roman"/>
        </w:rPr>
        <w:t>Third Party Fund (billion Rupiahs)</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NPF</w:t>
      </w:r>
      <w:r>
        <w:rPr>
          <w:rFonts w:hAnsi="Times New Roman"/>
        </w:rPr>
        <w:tab/>
      </w:r>
      <w:r>
        <w:rPr>
          <w:rFonts w:hAnsi="Times New Roman"/>
        </w:rPr>
        <w:t>:</w:t>
      </w:r>
      <w:r>
        <w:rPr>
          <w:rFonts w:hAnsi="Times New Roman"/>
        </w:rPr>
        <w:tab/>
      </w:r>
      <w:r>
        <w:rPr>
          <w:rFonts w:hAnsi="Times New Roman"/>
        </w:rPr>
        <w:t>Non-Performing Financing</w:t>
      </w:r>
      <w:r>
        <w:rPr>
          <w:rFonts w:hAnsi="Times New Roman"/>
          <w:i/>
          <w:iCs/>
        </w:rPr>
        <w:t xml:space="preserve"> </w:t>
      </w:r>
      <w:r>
        <w:rPr>
          <w:rFonts w:hAnsi="Times New Roman"/>
        </w:rPr>
        <w:t>(NPF) existing in sharia commercial bank (percent)</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TBH </w:t>
      </w:r>
      <w:r>
        <w:rPr>
          <w:rFonts w:hAnsi="Times New Roman"/>
        </w:rPr>
        <w:tab/>
      </w:r>
      <w:r>
        <w:rPr>
          <w:rFonts w:hAnsi="Times New Roman"/>
        </w:rPr>
        <w:t>:</w:t>
      </w:r>
      <w:r>
        <w:rPr>
          <w:rFonts w:hAnsi="Times New Roman"/>
        </w:rPr>
        <w:tab/>
      </w:r>
      <w:r>
        <w:rPr>
          <w:rFonts w:hAnsi="Times New Roman"/>
        </w:rPr>
        <w:t>Profit sharing rate given by sharia commercial bank (percent)</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SWB </w:t>
      </w:r>
      <w:r>
        <w:rPr>
          <w:rFonts w:hAnsi="Times New Roman"/>
        </w:rPr>
        <w:tab/>
      </w:r>
      <w:r>
        <w:rPr>
          <w:rFonts w:hAnsi="Times New Roman"/>
        </w:rPr>
        <w:t>:</w:t>
      </w:r>
      <w:r>
        <w:rPr>
          <w:rFonts w:hAnsi="Times New Roman"/>
        </w:rPr>
        <w:tab/>
      </w:r>
      <w:r>
        <w:rPr>
          <w:rFonts w:hAnsi="Times New Roman"/>
        </w:rPr>
        <w:t>Wadiah Certificate of Bank Indonesia in possession of sharia commercial bank (billion Rupiahs)</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ε     </w:t>
      </w:r>
      <w:r>
        <w:rPr>
          <w:rFonts w:hAnsi="Times New Roman"/>
        </w:rPr>
        <w:tab/>
      </w:r>
      <w:r>
        <w:rPr>
          <w:rFonts w:hAnsi="Times New Roman"/>
        </w:rPr>
        <w:t>:</w:t>
      </w:r>
      <w:r>
        <w:rPr>
          <w:rFonts w:hAnsi="Times New Roman"/>
        </w:rPr>
        <w:tab/>
      </w:r>
      <w:r>
        <w:rPr>
          <w:rFonts w:hAnsi="Times New Roman"/>
        </w:rPr>
        <w:t>Interfering error of financing supply equation</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t     </w:t>
      </w:r>
      <w:r>
        <w:rPr>
          <w:rFonts w:hAnsi="Times New Roman"/>
        </w:rPr>
        <w:tab/>
      </w:r>
      <w:r>
        <w:rPr>
          <w:rFonts w:hAnsi="Times New Roman"/>
        </w:rPr>
        <w:t>:</w:t>
      </w:r>
      <w:r>
        <w:rPr>
          <w:rFonts w:hAnsi="Times New Roman"/>
        </w:rPr>
        <w:tab/>
      </w:r>
      <w:r>
        <w:rPr>
          <w:rFonts w:hAnsi="Times New Roman"/>
        </w:rPr>
        <w:t>t</w:t>
      </w:r>
      <w:r>
        <w:rPr>
          <w:rFonts w:hAnsi="Times New Roman"/>
          <w:vertAlign w:val="superscript"/>
        </w:rPr>
        <w:t>th</w:t>
      </w:r>
      <w:r>
        <w:rPr>
          <w:rFonts w:hAnsi="Times New Roman"/>
        </w:rPr>
        <w:t xml:space="preserve"> period</w:t>
      </w:r>
    </w:p>
    <w:p>
      <w:pPr>
        <w:autoSpaceDE w:val="0"/>
        <w:autoSpaceDN w:val="0"/>
        <w:adjustRightInd w:val="0"/>
        <w:spacing w:after="0" w:line="240" w:lineRule="auto"/>
        <w:ind w:firstLine="360"/>
        <w:jc w:val="both"/>
        <w:rPr>
          <w:rFonts w:hAnsi="Times New Roman"/>
          <w:b/>
          <w:bCs/>
        </w:rPr>
      </w:pPr>
      <w:r>
        <w:rPr>
          <w:rFonts w:hAnsi="Times New Roman"/>
        </w:rPr>
        <w:t>In the financing demand, it is determined by profit sharing rate, PDB and interest rate of Bank Indonesia Certificate. The formal specifications of sharia bank financing demand as as follows:</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b/>
          <w:bCs/>
        </w:rPr>
        <w:t>Ln DPemb</w:t>
      </w:r>
      <w:r>
        <w:rPr>
          <w:rFonts w:hAnsi="Times New Roman"/>
          <w:b/>
          <w:bCs/>
          <w:vertAlign w:val="subscript"/>
        </w:rPr>
        <w:t>t</w:t>
      </w:r>
      <w:r>
        <w:rPr>
          <w:rFonts w:hAnsi="Times New Roman"/>
          <w:b/>
          <w:bCs/>
        </w:rPr>
        <w:tab/>
      </w:r>
      <w:r>
        <w:rPr>
          <w:rFonts w:hAnsi="Times New Roman"/>
          <w:b/>
          <w:bCs/>
        </w:rPr>
        <w:t>=</w:t>
      </w:r>
      <w:r>
        <w:rPr>
          <w:rFonts w:hAnsi="Times New Roman"/>
          <w:b/>
          <w:bCs/>
        </w:rPr>
        <w:tab/>
      </w:r>
      <w:r>
        <w:rPr>
          <w:rFonts w:hAnsi="Times New Roman"/>
          <w:b/>
          <w:bCs/>
        </w:rPr>
        <w:t>β</w:t>
      </w:r>
      <w:r>
        <w:rPr>
          <w:rFonts w:hAnsi="Times New Roman"/>
          <w:b/>
          <w:bCs/>
          <w:vertAlign w:val="subscript"/>
        </w:rPr>
        <w:t>0</w:t>
      </w:r>
      <w:r>
        <w:rPr>
          <w:rFonts w:hAnsi="Times New Roman"/>
          <w:b/>
          <w:bCs/>
        </w:rPr>
        <w:t xml:space="preserve"> + β</w:t>
      </w:r>
      <w:r>
        <w:rPr>
          <w:rFonts w:hAnsi="Times New Roman"/>
          <w:b/>
          <w:bCs/>
          <w:vertAlign w:val="subscript"/>
        </w:rPr>
        <w:t>1</w:t>
      </w:r>
      <w:r>
        <w:rPr>
          <w:rFonts w:hAnsi="Times New Roman"/>
          <w:b/>
          <w:bCs/>
        </w:rPr>
        <w:t>TBH</w:t>
      </w:r>
      <w:r>
        <w:rPr>
          <w:rFonts w:hAnsi="Times New Roman"/>
          <w:b/>
          <w:bCs/>
          <w:vertAlign w:val="subscript"/>
        </w:rPr>
        <w:t>t</w:t>
      </w:r>
      <w:r>
        <w:rPr>
          <w:rFonts w:hAnsi="Times New Roman"/>
          <w:b/>
          <w:bCs/>
        </w:rPr>
        <w:t xml:space="preserve"> + β</w:t>
      </w:r>
      <w:r>
        <w:rPr>
          <w:rFonts w:hAnsi="Times New Roman"/>
          <w:b/>
          <w:bCs/>
          <w:vertAlign w:val="subscript"/>
        </w:rPr>
        <w:t>2</w:t>
      </w:r>
      <w:r>
        <w:rPr>
          <w:rFonts w:hAnsi="Times New Roman"/>
          <w:b/>
          <w:bCs/>
        </w:rPr>
        <w:t>LnPDB</w:t>
      </w:r>
      <w:r>
        <w:rPr>
          <w:rFonts w:hAnsi="Times New Roman"/>
          <w:b/>
          <w:bCs/>
          <w:vertAlign w:val="subscript"/>
        </w:rPr>
        <w:t>t</w:t>
      </w:r>
      <w:r>
        <w:rPr>
          <w:rFonts w:hAnsi="Times New Roman"/>
          <w:b/>
          <w:bCs/>
        </w:rPr>
        <w:t xml:space="preserve"> + β</w:t>
      </w:r>
      <w:r>
        <w:rPr>
          <w:rFonts w:hAnsi="Times New Roman"/>
          <w:b/>
          <w:bCs/>
          <w:vertAlign w:val="subscript"/>
        </w:rPr>
        <w:t>3</w:t>
      </w:r>
      <w:r>
        <w:rPr>
          <w:rFonts w:hAnsi="Times New Roman"/>
          <w:b/>
          <w:bCs/>
        </w:rPr>
        <w:t>SBI</w:t>
      </w:r>
      <w:r>
        <w:rPr>
          <w:rFonts w:hAnsi="Times New Roman"/>
          <w:b/>
          <w:bCs/>
          <w:vertAlign w:val="subscript"/>
        </w:rPr>
        <w:t>t</w:t>
      </w:r>
      <w:r>
        <w:rPr>
          <w:rFonts w:hAnsi="Times New Roman"/>
          <w:b/>
          <w:bCs/>
        </w:rPr>
        <w:t xml:space="preserve"> + V</w:t>
      </w:r>
      <w:r>
        <w:rPr>
          <w:rFonts w:hAnsi="Times New Roman"/>
          <w:b/>
          <w:bCs/>
          <w:vertAlign w:val="subscript"/>
        </w:rPr>
        <w:t>t</w:t>
      </w:r>
      <w:r>
        <w:rPr>
          <w:rFonts w:hAnsi="Times New Roman"/>
          <w:b/>
          <w:bCs/>
        </w:rPr>
        <w:t xml:space="preserve"> …..(4)</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β</w:t>
      </w:r>
      <w:r>
        <w:rPr>
          <w:rFonts w:hAnsi="Times New Roman"/>
          <w:vertAlign w:val="subscript"/>
        </w:rPr>
        <w:t xml:space="preserve">0    </w:t>
      </w:r>
      <w:r>
        <w:rPr>
          <w:rFonts w:hAnsi="Times New Roman"/>
          <w:vertAlign w:val="subscript"/>
        </w:rPr>
        <w:tab/>
      </w:r>
      <w:r>
        <w:rPr>
          <w:rFonts w:hAnsi="Times New Roman"/>
        </w:rPr>
        <w:t>:</w:t>
      </w:r>
      <w:r>
        <w:rPr>
          <w:rFonts w:hAnsi="Times New Roman"/>
        </w:rPr>
        <w:tab/>
      </w:r>
      <w:r>
        <w:rPr>
          <w:rFonts w:hAnsi="Times New Roman"/>
        </w:rPr>
        <w:t>Constant of financing demand equation</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β</w:t>
      </w:r>
      <w:r>
        <w:rPr>
          <w:rFonts w:hAnsi="Times New Roman"/>
          <w:vertAlign w:val="subscript"/>
        </w:rPr>
        <w:t>1</w:t>
      </w:r>
      <w:r>
        <w:rPr>
          <w:rFonts w:hAnsi="Times New Roman"/>
          <w:vertAlign w:val="subscript"/>
        </w:rPr>
        <w:tab/>
      </w:r>
      <w:r>
        <w:rPr>
          <w:rFonts w:hAnsi="Times New Roman"/>
        </w:rPr>
        <w:t>:</w:t>
      </w:r>
      <w:r>
        <w:rPr>
          <w:rFonts w:hAnsi="Times New Roman"/>
        </w:rPr>
        <w:tab/>
      </w:r>
      <w:r>
        <w:rPr>
          <w:rFonts w:hAnsi="Times New Roman"/>
        </w:rPr>
        <w:t>Regression coefficient of financing demand equation (i=1, 2, 3, 4)</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DPemb</w:t>
      </w:r>
      <w:r>
        <w:rPr>
          <w:rFonts w:hAnsi="Times New Roman"/>
          <w:vertAlign w:val="subscript"/>
        </w:rPr>
        <w:t>t</w:t>
      </w:r>
      <w:r>
        <w:rPr>
          <w:rFonts w:hAnsi="Times New Roman"/>
          <w:vertAlign w:val="subscript"/>
        </w:rPr>
        <w:tab/>
      </w:r>
      <w:r>
        <w:rPr>
          <w:rFonts w:hAnsi="Times New Roman"/>
        </w:rPr>
        <w:t>:</w:t>
      </w:r>
      <w:r>
        <w:rPr>
          <w:rFonts w:hAnsi="Times New Roman"/>
        </w:rPr>
        <w:tab/>
      </w:r>
      <w:r>
        <w:rPr>
          <w:rFonts w:hAnsi="Times New Roman"/>
        </w:rPr>
        <w:t>Financing demand (billion Rupiahs)</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TBH  </w:t>
      </w:r>
      <w:r>
        <w:rPr>
          <w:rFonts w:hAnsi="Times New Roman"/>
        </w:rPr>
        <w:tab/>
      </w:r>
      <w:r>
        <w:rPr>
          <w:rFonts w:hAnsi="Times New Roman"/>
        </w:rPr>
        <w:t>:</w:t>
      </w:r>
      <w:r>
        <w:rPr>
          <w:rFonts w:hAnsi="Times New Roman"/>
        </w:rPr>
        <w:tab/>
      </w:r>
      <w:r>
        <w:rPr>
          <w:rFonts w:hAnsi="Times New Roman"/>
        </w:rPr>
        <w:t>Profit sharing rate given by sharia commercial bank (%)</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PDB</w:t>
      </w:r>
      <w:r>
        <w:rPr>
          <w:rFonts w:hAnsi="Times New Roman"/>
        </w:rPr>
        <w:tab/>
      </w:r>
      <w:r>
        <w:rPr>
          <w:rFonts w:hAnsi="Times New Roman"/>
        </w:rPr>
        <w:t>:</w:t>
      </w:r>
      <w:r>
        <w:rPr>
          <w:rFonts w:hAnsi="Times New Roman"/>
        </w:rPr>
        <w:tab/>
      </w:r>
      <w:r>
        <w:rPr>
          <w:rFonts w:hAnsi="Times New Roman"/>
        </w:rPr>
        <w:t>Real Domestic Product on the basis of 2002 price (million Rupiahs)</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 xml:space="preserve">SBI  </w:t>
      </w:r>
      <w:r>
        <w:rPr>
          <w:rFonts w:hAnsi="Times New Roman"/>
        </w:rPr>
        <w:tab/>
      </w:r>
      <w:r>
        <w:rPr>
          <w:rFonts w:hAnsi="Times New Roman"/>
        </w:rPr>
        <w:t>:</w:t>
      </w:r>
      <w:r>
        <w:rPr>
          <w:rFonts w:hAnsi="Times New Roman"/>
        </w:rPr>
        <w:tab/>
      </w:r>
      <w:r>
        <w:rPr>
          <w:rFonts w:hAnsi="Times New Roman"/>
        </w:rPr>
        <w:t>Interest Rate of Bank Indonesia Certificate (percent)</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V</w:t>
      </w:r>
      <w:r>
        <w:rPr>
          <w:rFonts w:hAnsi="Times New Roman"/>
        </w:rPr>
        <w:tab/>
      </w:r>
      <w:r>
        <w:rPr>
          <w:rFonts w:hAnsi="Times New Roman"/>
        </w:rPr>
        <w:t>:</w:t>
      </w:r>
      <w:r>
        <w:rPr>
          <w:rFonts w:hAnsi="Times New Roman"/>
        </w:rPr>
        <w:tab/>
      </w:r>
      <w:r>
        <w:rPr>
          <w:rFonts w:hAnsi="Times New Roman"/>
        </w:rPr>
        <w:t>Interfering error of financing demand equation</w:t>
      </w:r>
    </w:p>
    <w:p>
      <w:pPr>
        <w:tabs>
          <w:tab w:val="left" w:pos="1985"/>
        </w:tabs>
        <w:autoSpaceDE w:val="0"/>
        <w:autoSpaceDN w:val="0"/>
        <w:adjustRightInd w:val="0"/>
        <w:spacing w:after="0" w:line="240" w:lineRule="auto"/>
        <w:ind w:left="2125" w:leftChars="386" w:hanging="1276"/>
        <w:jc w:val="both"/>
        <w:rPr>
          <w:rFonts w:hAnsi="Times New Roman"/>
        </w:rPr>
      </w:pPr>
      <w:r>
        <w:rPr>
          <w:rFonts w:hAnsi="Times New Roman"/>
        </w:rPr>
        <w:t>t</w:t>
      </w:r>
      <w:r>
        <w:rPr>
          <w:rFonts w:hAnsi="Times New Roman"/>
        </w:rPr>
        <w:tab/>
      </w:r>
      <w:r>
        <w:rPr>
          <w:rFonts w:hAnsi="Times New Roman"/>
        </w:rPr>
        <w:t>:</w:t>
      </w:r>
      <w:r>
        <w:rPr>
          <w:rFonts w:hAnsi="Times New Roman"/>
        </w:rPr>
        <w:tab/>
      </w:r>
      <w:r>
        <w:rPr>
          <w:rFonts w:hAnsi="Times New Roman"/>
        </w:rPr>
        <w:t>t</w:t>
      </w:r>
      <w:r>
        <w:rPr>
          <w:rFonts w:hAnsi="Times New Roman"/>
          <w:vertAlign w:val="superscript"/>
        </w:rPr>
        <w:t>th</w:t>
      </w:r>
      <w:r>
        <w:rPr>
          <w:rFonts w:hAnsi="Times New Roman"/>
        </w:rPr>
        <w:t xml:space="preserve"> period</w:t>
      </w:r>
    </w:p>
    <w:p>
      <w:pPr>
        <w:tabs>
          <w:tab w:val="left" w:pos="1985"/>
        </w:tabs>
        <w:autoSpaceDE w:val="0"/>
        <w:autoSpaceDN w:val="0"/>
        <w:adjustRightInd w:val="0"/>
        <w:spacing w:after="0" w:line="240" w:lineRule="auto"/>
        <w:ind w:left="2125" w:leftChars="386" w:hanging="1276"/>
        <w:jc w:val="both"/>
        <w:rPr>
          <w:rFonts w:hAnsi="Times New Roman"/>
        </w:rPr>
      </w:pPr>
    </w:p>
    <w:p>
      <w:pPr>
        <w:tabs>
          <w:tab w:val="left" w:pos="1985"/>
        </w:tabs>
        <w:autoSpaceDE w:val="0"/>
        <w:autoSpaceDN w:val="0"/>
        <w:adjustRightInd w:val="0"/>
        <w:spacing w:after="0" w:line="240" w:lineRule="auto"/>
        <w:ind w:left="2125" w:leftChars="386" w:hanging="1276"/>
        <w:jc w:val="both"/>
        <w:rPr>
          <w:rFonts w:hAnsi="Times New Roman"/>
          <w:lang w:val="en-US"/>
        </w:rPr>
      </w:pPr>
    </w:p>
    <w:p>
      <w:pPr>
        <w:numPr>
          <w:ilvl w:val="0"/>
          <w:numId w:val="0"/>
        </w:numPr>
        <w:autoSpaceDE w:val="0"/>
        <w:autoSpaceDN w:val="0"/>
        <w:adjustRightInd w:val="0"/>
        <w:spacing w:after="0" w:line="240" w:lineRule="auto"/>
        <w:ind w:leftChars="0"/>
        <w:rPr>
          <w:rFonts w:hAnsi="Times-Bold" w:cs="Times-Bold"/>
          <w:b/>
          <w:bCs/>
        </w:rPr>
      </w:pPr>
      <w:r>
        <w:rPr>
          <w:rFonts w:hAnsi="Times-Bold" w:cs="Times-Bold" w:asciiTheme="minorAscii"/>
          <w:b/>
          <w:bCs/>
          <w:sz w:val="22"/>
          <w:szCs w:val="22"/>
          <w:lang w:val="en-US"/>
        </w:rPr>
        <w:t xml:space="preserve">2.3 </w:t>
      </w:r>
      <w:r>
        <w:rPr>
          <w:rFonts w:hAnsi="Times-Bold" w:cs="Times-Bold"/>
          <w:b/>
          <w:bCs/>
        </w:rPr>
        <w:t>Significance Test</w:t>
      </w:r>
    </w:p>
    <w:p>
      <w:pPr>
        <w:autoSpaceDE w:val="0"/>
        <w:autoSpaceDN w:val="0"/>
        <w:adjustRightInd w:val="0"/>
        <w:spacing w:after="0" w:line="240" w:lineRule="auto"/>
        <w:ind w:left="477" w:leftChars="217" w:firstLine="980"/>
        <w:contextualSpacing/>
        <w:jc w:val="both"/>
        <w:rPr>
          <w:rFonts w:hAnsi="Times-Bold" w:cs="Times-Bold"/>
          <w:b/>
          <w:bCs/>
        </w:rPr>
      </w:pPr>
      <w:r>
        <w:rPr>
          <w:rFonts w:hAnsi="Times-Roman" w:cs="Times-Roman"/>
        </w:rPr>
        <w:t xml:space="preserve">The significance test employ the </w:t>
      </w:r>
      <w:r>
        <w:rPr>
          <w:rFonts w:hAnsi="Times-Italic" w:cs="Times-Italic"/>
        </w:rPr>
        <w:t>Two Stage Least Square</w:t>
      </w:r>
      <w:r>
        <w:rPr>
          <w:rFonts w:hAnsi="Times-Italic" w:cs="Times-Italic"/>
          <w:i/>
          <w:iCs/>
        </w:rPr>
        <w:t xml:space="preserve"> </w:t>
      </w:r>
      <w:r>
        <w:rPr>
          <w:rFonts w:hAnsi="Times-Roman" w:cs="Times-Roman"/>
        </w:rPr>
        <w:t>(TSLS) method with assistance of E-views</w:t>
      </w:r>
      <w:r>
        <w:rPr>
          <w:rFonts w:hAnsi="Times-Italic" w:cs="Times-Italic"/>
        </w:rPr>
        <w:t xml:space="preserve"> software</w:t>
      </w:r>
      <w:r>
        <w:rPr>
          <w:rFonts w:hAnsi="Times-Roman" w:cs="Times-Roman"/>
        </w:rPr>
        <w:t>. These model estimation and significance test aim at observing whether the supply model estimation is relatively good for use and whether the independent variables significantly influence the dependent variables.</w:t>
      </w:r>
    </w:p>
    <w:p>
      <w:pPr>
        <w:pStyle w:val="19"/>
        <w:rPr>
          <w:rFonts w:hint="default" w:hAnsi="Times New Roman" w:cs="Times New Roman" w:asciiTheme="minorAscii"/>
          <w:b/>
          <w:sz w:val="22"/>
          <w:szCs w:val="22"/>
        </w:rPr>
      </w:pPr>
      <w:r>
        <w:rPr>
          <w:rFonts w:asciiTheme="minorHAnsi" w:hAnsiTheme="minorHAnsi"/>
          <w:lang w:val="en-US"/>
        </w:rPr>
        <w:t>Result and Discussion</w:t>
      </w:r>
    </w:p>
    <w:p>
      <w:pPr>
        <w:pStyle w:val="19"/>
        <w:numPr>
          <w:ilvl w:val="0"/>
          <w:numId w:val="0"/>
        </w:numPr>
        <w:tabs>
          <w:tab w:val="clear" w:pos="360"/>
        </w:tabs>
        <w:ind w:leftChars="0"/>
        <w:rPr>
          <w:rFonts w:hint="default" w:hAnsi="Times New Roman" w:cs="Times New Roman" w:asciiTheme="minorAscii"/>
          <w:b/>
          <w:sz w:val="22"/>
          <w:szCs w:val="22"/>
        </w:rPr>
      </w:pPr>
      <w:r>
        <w:rPr>
          <w:rFonts w:asciiTheme="minorAscii" w:hAnsiTheme="minorHAnsi"/>
          <w:sz w:val="22"/>
          <w:szCs w:val="22"/>
          <w:lang w:val="en-US"/>
        </w:rPr>
        <w:t xml:space="preserve">3.1 </w:t>
      </w:r>
      <w:r>
        <w:rPr>
          <w:rFonts w:ascii="Calibri" w:hAnsi="Calibri"/>
          <w:sz w:val="22"/>
          <w:szCs w:val="22"/>
        </w:rPr>
        <w:t xml:space="preserve">Descriptive </w:t>
      </w:r>
      <w:r>
        <w:rPr>
          <w:rFonts w:ascii="Calibri"/>
          <w:sz w:val="22"/>
          <w:szCs w:val="22"/>
        </w:rPr>
        <w:t>Statistics</w:t>
      </w:r>
    </w:p>
    <w:p>
      <w:pPr>
        <w:autoSpaceDE w:val="0"/>
        <w:autoSpaceDN w:val="0"/>
        <w:adjustRightInd w:val="0"/>
        <w:spacing w:after="0" w:line="240" w:lineRule="auto"/>
        <w:ind w:left="13" w:leftChars="6" w:firstLine="325"/>
        <w:contextualSpacing/>
        <w:jc w:val="both"/>
        <w:rPr>
          <w:rFonts w:hAnsi="Times New Roman"/>
          <w:color w:val="auto"/>
        </w:rPr>
      </w:pPr>
      <w:r>
        <w:rPr>
          <w:rFonts w:hAnsi="Times New Roman"/>
          <w:color w:val="auto"/>
        </w:rPr>
        <w:t>The descriptive statistics of all research variables covering average value, mean value, maximum, minimum and standard deviation are given in the Table.</w:t>
      </w:r>
    </w:p>
    <w:p>
      <w:pPr>
        <w:pStyle w:val="20"/>
        <w:keepNext w:val="0"/>
        <w:keepLines w:val="0"/>
        <w:pageBreakBefore w:val="0"/>
        <w:widowControl/>
        <w:kinsoku/>
        <w:wordWrap/>
        <w:overflowPunct/>
        <w:topLinePunct w:val="0"/>
        <w:autoSpaceDE w:val="0"/>
        <w:autoSpaceDN w:val="0"/>
        <w:bidi w:val="0"/>
        <w:adjustRightInd w:val="0"/>
        <w:snapToGrid w:val="0"/>
        <w:spacing w:after="0" w:line="240" w:lineRule="auto"/>
        <w:ind w:left="709" w:firstLine="567"/>
        <w:jc w:val="both"/>
        <w:textAlignment w:val="auto"/>
        <w:outlineLvl w:val="9"/>
        <w:rPr>
          <w:rFonts w:hint="default" w:hAnsi="Times New Roman" w:cs="Times New Roman" w:asciiTheme="minorAscii"/>
          <w:sz w:val="22"/>
          <w:szCs w:val="22"/>
          <w:lang w:val="sv-SE"/>
        </w:rPr>
      </w:pPr>
    </w:p>
    <w:p>
      <w:pPr>
        <w:pStyle w:val="23"/>
        <w:autoSpaceDE w:val="0"/>
        <w:autoSpaceDN w:val="0"/>
        <w:adjustRightInd w:val="0"/>
        <w:snapToGrid w:val="0"/>
        <w:spacing w:after="0" w:line="240" w:lineRule="auto"/>
        <w:ind w:left="709" w:hanging="669"/>
        <w:jc w:val="both"/>
        <w:rPr>
          <w:rFonts w:hint="default" w:hAnsi="Times New Roman" w:cs="Times New Roman" w:asciiTheme="minorAscii"/>
          <w:sz w:val="22"/>
          <w:szCs w:val="22"/>
          <w:lang w:val="sv-SE"/>
        </w:rPr>
      </w:pPr>
      <w:r>
        <w:rPr>
          <w:rFonts w:hint="default" w:hAnsi="Times New Roman" w:cs="Times New Roman" w:asciiTheme="minorAscii"/>
          <w:sz w:val="22"/>
          <w:szCs w:val="22"/>
          <w:lang w:val="en-US"/>
        </w:rPr>
        <w:t xml:space="preserve">Table 3.1 </w:t>
      </w:r>
      <w:r>
        <w:rPr>
          <w:rFonts w:hAnsi="Times New Roman"/>
          <w:color w:val="auto"/>
        </w:rPr>
        <w:t>Table of Descriptive Statistics of Research Variable</w:t>
      </w:r>
      <w:r>
        <w:rPr>
          <w:rFonts w:hAnsi="Times New Roman"/>
          <w:color w:val="auto"/>
          <w:lang w:val="en-US"/>
        </w:rPr>
        <w:t>s</w:t>
      </w:r>
    </w:p>
    <w:tbl>
      <w:tblPr>
        <w:tblStyle w:val="9"/>
        <w:tblpPr w:leftFromText="180" w:rightFromText="180" w:vertAnchor="text" w:horzAnchor="page" w:tblpX="1285" w:tblpY="95"/>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350"/>
        <w:gridCol w:w="1322"/>
        <w:gridCol w:w="1249"/>
        <w:gridCol w:w="1111"/>
        <w:gridCol w:w="1132"/>
        <w:gridCol w:w="106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3" w:type="dxa"/>
            <w:vAlign w:val="center"/>
          </w:tcPr>
          <w:p>
            <w:pPr>
              <w:snapToGrid w:val="0"/>
              <w:spacing w:after="0" w:line="240" w:lineRule="auto"/>
              <w:jc w:val="center"/>
              <w:rPr>
                <w:rFonts w:hAnsi="Times New Roman" w:eastAsia="Calibri" w:cs="Arial"/>
                <w:color w:val="auto"/>
              </w:rPr>
            </w:pPr>
          </w:p>
        </w:tc>
        <w:tc>
          <w:tcPr>
            <w:tcW w:w="1350"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BAGI HASIL</w:t>
            </w:r>
          </w:p>
        </w:tc>
        <w:tc>
          <w:tcPr>
            <w:tcW w:w="1322"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DPK</w:t>
            </w:r>
          </w:p>
        </w:tc>
        <w:tc>
          <w:tcPr>
            <w:tcW w:w="1249"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NPF</w:t>
            </w:r>
          </w:p>
        </w:tc>
        <w:tc>
          <w:tcPr>
            <w:tcW w:w="1111"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PDB</w:t>
            </w:r>
          </w:p>
        </w:tc>
        <w:tc>
          <w:tcPr>
            <w:tcW w:w="1132"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PEMB</w:t>
            </w:r>
          </w:p>
        </w:tc>
        <w:tc>
          <w:tcPr>
            <w:tcW w:w="1064"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SBI</w:t>
            </w:r>
          </w:p>
        </w:tc>
        <w:tc>
          <w:tcPr>
            <w:tcW w:w="1132" w:type="dxa"/>
            <w:vAlign w:val="center"/>
          </w:tcPr>
          <w:p>
            <w:pPr>
              <w:snapToGrid w:val="0"/>
              <w:spacing w:after="0" w:line="240" w:lineRule="auto"/>
              <w:jc w:val="center"/>
              <w:rPr>
                <w:rFonts w:hAnsi="Times New Roman" w:eastAsia="Calibri" w:cs="Arial"/>
                <w:color w:val="auto"/>
              </w:rPr>
            </w:pPr>
            <w:r>
              <w:rPr>
                <w:rFonts w:hAnsi="Times New Roman" w:eastAsia="Calibri" w:cs="Arial"/>
                <w:color w:val="auto"/>
              </w:rPr>
              <w:t>SWBI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3" w:type="dxa"/>
            <w:vAlign w:val="top"/>
          </w:tcPr>
          <w:p>
            <w:pPr>
              <w:snapToGrid w:val="0"/>
              <w:spacing w:after="0" w:line="240" w:lineRule="auto"/>
              <w:rPr>
                <w:rFonts w:hAnsi="Times New Roman" w:eastAsia="Calibri" w:cs="Arial"/>
                <w:color w:val="auto"/>
              </w:rPr>
            </w:pPr>
            <w:r>
              <w:rPr>
                <w:rFonts w:hAnsi="Times New Roman" w:eastAsia="Calibri" w:cs="Arial"/>
                <w:color w:val="auto"/>
              </w:rPr>
              <w:t>Mean</w:t>
            </w:r>
          </w:p>
        </w:tc>
        <w:tc>
          <w:tcPr>
            <w:tcW w:w="1350" w:type="dxa"/>
            <w:vAlign w:val="top"/>
          </w:tcPr>
          <w:p>
            <w:pPr>
              <w:snapToGrid w:val="0"/>
              <w:spacing w:after="0" w:line="240" w:lineRule="auto"/>
              <w:jc w:val="center"/>
              <w:rPr>
                <w:rFonts w:hAnsi="Times New Roman" w:eastAsia="Calibri" w:cs="Arial"/>
                <w:color w:val="auto"/>
              </w:rPr>
            </w:pPr>
            <w:r>
              <w:rPr>
                <w:rFonts w:hAnsi="Times New Roman" w:eastAsia="Calibri" w:cs="Arial"/>
                <w:color w:val="auto"/>
              </w:rPr>
              <w:t>11.76340</w:t>
            </w:r>
          </w:p>
        </w:tc>
        <w:tc>
          <w:tcPr>
            <w:tcW w:w="1322" w:type="dxa"/>
            <w:vAlign w:val="top"/>
          </w:tcPr>
          <w:p>
            <w:pPr>
              <w:snapToGrid w:val="0"/>
              <w:spacing w:after="0" w:line="240" w:lineRule="auto"/>
              <w:rPr>
                <w:rFonts w:hAnsi="Times New Roman" w:eastAsia="Calibri" w:cs="Arial"/>
                <w:color w:val="auto"/>
              </w:rPr>
            </w:pPr>
            <w:r>
              <w:rPr>
                <w:rFonts w:hAnsi="Times New Roman" w:eastAsia="Calibri" w:cs="Arial"/>
                <w:color w:val="auto"/>
              </w:rPr>
              <w:t>4806939</w:t>
            </w:r>
          </w:p>
        </w:tc>
        <w:tc>
          <w:tcPr>
            <w:tcW w:w="1249" w:type="dxa"/>
            <w:vAlign w:val="top"/>
          </w:tcPr>
          <w:p>
            <w:pPr>
              <w:snapToGrid w:val="0"/>
              <w:spacing w:after="0" w:line="240" w:lineRule="auto"/>
              <w:rPr>
                <w:rFonts w:hAnsi="Times New Roman" w:eastAsia="Calibri" w:cs="Arial"/>
                <w:color w:val="auto"/>
              </w:rPr>
            </w:pPr>
            <w:r>
              <w:rPr>
                <w:rFonts w:hAnsi="Times New Roman" w:eastAsia="Calibri" w:cs="Arial"/>
                <w:color w:val="auto"/>
              </w:rPr>
              <w:t>3.935533</w:t>
            </w:r>
          </w:p>
        </w:tc>
        <w:tc>
          <w:tcPr>
            <w:tcW w:w="1111" w:type="dxa"/>
            <w:vAlign w:val="top"/>
          </w:tcPr>
          <w:p>
            <w:pPr>
              <w:snapToGrid w:val="0"/>
              <w:spacing w:after="0" w:line="240" w:lineRule="auto"/>
              <w:rPr>
                <w:rFonts w:hAnsi="Times New Roman" w:eastAsia="Calibri" w:cs="Arial"/>
                <w:color w:val="auto"/>
              </w:rPr>
            </w:pPr>
            <w:r>
              <w:rPr>
                <w:rFonts w:hAnsi="Times New Roman" w:eastAsia="Calibri" w:cs="Arial"/>
                <w:color w:val="auto"/>
              </w:rPr>
              <w:t>5647721</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69948.51</w:t>
            </w:r>
          </w:p>
        </w:tc>
        <w:tc>
          <w:tcPr>
            <w:tcW w:w="1064" w:type="dxa"/>
            <w:vAlign w:val="top"/>
          </w:tcPr>
          <w:p>
            <w:pPr>
              <w:snapToGrid w:val="0"/>
              <w:spacing w:after="0" w:line="240" w:lineRule="auto"/>
              <w:rPr>
                <w:rFonts w:hAnsi="Times New Roman" w:eastAsia="Calibri" w:cs="Arial"/>
                <w:color w:val="auto"/>
              </w:rPr>
            </w:pPr>
            <w:r>
              <w:rPr>
                <w:rFonts w:hAnsi="Times New Roman" w:eastAsia="Calibri" w:cs="Arial"/>
                <w:color w:val="auto"/>
              </w:rPr>
              <w:t>7.892867</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1921.645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3" w:type="dxa"/>
            <w:vAlign w:val="top"/>
          </w:tcPr>
          <w:p>
            <w:pPr>
              <w:snapToGrid w:val="0"/>
              <w:spacing w:after="0" w:line="240" w:lineRule="auto"/>
              <w:rPr>
                <w:rFonts w:hAnsi="Times New Roman" w:eastAsia="Calibri" w:cs="Arial"/>
                <w:color w:val="auto"/>
              </w:rPr>
            </w:pPr>
            <w:r>
              <w:rPr>
                <w:rFonts w:hAnsi="Times New Roman" w:eastAsia="Calibri" w:cs="Arial"/>
                <w:color w:val="auto"/>
              </w:rPr>
              <w:t>Median</w:t>
            </w:r>
          </w:p>
        </w:tc>
        <w:tc>
          <w:tcPr>
            <w:tcW w:w="1350" w:type="dxa"/>
            <w:vAlign w:val="top"/>
          </w:tcPr>
          <w:p>
            <w:pPr>
              <w:snapToGrid w:val="0"/>
              <w:spacing w:after="0" w:line="240" w:lineRule="auto"/>
              <w:jc w:val="center"/>
              <w:rPr>
                <w:rFonts w:hAnsi="Times New Roman" w:eastAsia="Calibri" w:cs="Arial"/>
                <w:color w:val="auto"/>
              </w:rPr>
            </w:pPr>
            <w:r>
              <w:rPr>
                <w:rFonts w:hAnsi="Times New Roman" w:eastAsia="Calibri" w:cs="Arial"/>
                <w:color w:val="auto"/>
              </w:rPr>
              <w:t>12.46000</w:t>
            </w:r>
          </w:p>
        </w:tc>
        <w:tc>
          <w:tcPr>
            <w:tcW w:w="1322" w:type="dxa"/>
            <w:vAlign w:val="top"/>
          </w:tcPr>
          <w:p>
            <w:pPr>
              <w:snapToGrid w:val="0"/>
              <w:spacing w:after="0" w:line="240" w:lineRule="auto"/>
              <w:rPr>
                <w:rFonts w:hAnsi="Times New Roman" w:eastAsia="Calibri" w:cs="Arial"/>
                <w:color w:val="auto"/>
              </w:rPr>
            </w:pPr>
            <w:r>
              <w:rPr>
                <w:rFonts w:hAnsi="Times New Roman" w:eastAsia="Calibri" w:cs="Arial"/>
                <w:color w:val="auto"/>
              </w:rPr>
              <w:t>88916.00</w:t>
            </w:r>
          </w:p>
        </w:tc>
        <w:tc>
          <w:tcPr>
            <w:tcW w:w="1249" w:type="dxa"/>
            <w:vAlign w:val="top"/>
          </w:tcPr>
          <w:p>
            <w:pPr>
              <w:snapToGrid w:val="0"/>
              <w:spacing w:after="0" w:line="240" w:lineRule="auto"/>
              <w:rPr>
                <w:rFonts w:hAnsi="Times New Roman" w:eastAsia="Calibri" w:cs="Arial"/>
                <w:color w:val="auto"/>
              </w:rPr>
            </w:pPr>
            <w:r>
              <w:rPr>
                <w:rFonts w:hAnsi="Times New Roman" w:eastAsia="Calibri" w:cs="Arial"/>
                <w:color w:val="auto"/>
              </w:rPr>
              <w:t>3.890000</w:t>
            </w:r>
          </w:p>
        </w:tc>
        <w:tc>
          <w:tcPr>
            <w:tcW w:w="1111" w:type="dxa"/>
            <w:vAlign w:val="top"/>
          </w:tcPr>
          <w:p>
            <w:pPr>
              <w:snapToGrid w:val="0"/>
              <w:spacing w:after="0" w:line="240" w:lineRule="auto"/>
              <w:rPr>
                <w:rFonts w:hAnsi="Times New Roman" w:eastAsia="Calibri" w:cs="Arial"/>
                <w:color w:val="auto"/>
              </w:rPr>
            </w:pPr>
            <w:r>
              <w:rPr>
                <w:rFonts w:hAnsi="Times New Roman" w:eastAsia="Calibri" w:cs="Arial"/>
                <w:color w:val="auto"/>
              </w:rPr>
              <w:t>5417237</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39807.50</w:t>
            </w:r>
          </w:p>
        </w:tc>
        <w:tc>
          <w:tcPr>
            <w:tcW w:w="1064" w:type="dxa"/>
            <w:vAlign w:val="top"/>
          </w:tcPr>
          <w:p>
            <w:pPr>
              <w:snapToGrid w:val="0"/>
              <w:spacing w:after="0" w:line="240" w:lineRule="auto"/>
              <w:rPr>
                <w:rFonts w:hAnsi="Times New Roman" w:eastAsia="Calibri" w:cs="Arial"/>
                <w:color w:val="auto"/>
              </w:rPr>
            </w:pPr>
            <w:r>
              <w:rPr>
                <w:rFonts w:hAnsi="Times New Roman" w:eastAsia="Calibri" w:cs="Arial"/>
                <w:color w:val="auto"/>
              </w:rPr>
              <w:t>7.500000</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1549.200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3" w:type="dxa"/>
            <w:vAlign w:val="top"/>
          </w:tcPr>
          <w:p>
            <w:pPr>
              <w:snapToGrid w:val="0"/>
              <w:spacing w:after="0" w:line="240" w:lineRule="auto"/>
              <w:rPr>
                <w:rFonts w:hAnsi="Times New Roman" w:eastAsia="Calibri" w:cs="Arial"/>
                <w:color w:val="auto"/>
              </w:rPr>
            </w:pPr>
            <w:r>
              <w:rPr>
                <w:rFonts w:hAnsi="Times New Roman" w:eastAsia="Calibri" w:cs="Arial"/>
                <w:color w:val="auto"/>
              </w:rPr>
              <w:t>Maximum</w:t>
            </w:r>
          </w:p>
        </w:tc>
        <w:tc>
          <w:tcPr>
            <w:tcW w:w="1350" w:type="dxa"/>
            <w:vAlign w:val="top"/>
          </w:tcPr>
          <w:p>
            <w:pPr>
              <w:snapToGrid w:val="0"/>
              <w:spacing w:after="0" w:line="240" w:lineRule="auto"/>
              <w:jc w:val="center"/>
              <w:rPr>
                <w:rFonts w:hAnsi="Times New Roman" w:eastAsia="Calibri" w:cs="Arial"/>
                <w:color w:val="auto"/>
              </w:rPr>
            </w:pPr>
            <w:r>
              <w:rPr>
                <w:rFonts w:hAnsi="Times New Roman" w:eastAsia="Calibri" w:cs="Arial"/>
                <w:color w:val="auto"/>
              </w:rPr>
              <w:t>17.76000</w:t>
            </w:r>
          </w:p>
        </w:tc>
        <w:tc>
          <w:tcPr>
            <w:tcW w:w="1322" w:type="dxa"/>
            <w:vAlign w:val="top"/>
          </w:tcPr>
          <w:p>
            <w:pPr>
              <w:snapToGrid w:val="0"/>
              <w:spacing w:after="0" w:line="240" w:lineRule="auto"/>
              <w:rPr>
                <w:rFonts w:hAnsi="Times New Roman" w:eastAsia="Calibri" w:cs="Arial"/>
                <w:color w:val="auto"/>
              </w:rPr>
            </w:pPr>
            <w:r>
              <w:rPr>
                <w:rFonts w:hAnsi="Times New Roman" w:eastAsia="Calibri" w:cs="Arial"/>
                <w:color w:val="auto"/>
              </w:rPr>
              <w:t>20668826</w:t>
            </w:r>
          </w:p>
        </w:tc>
        <w:tc>
          <w:tcPr>
            <w:tcW w:w="1249" w:type="dxa"/>
            <w:vAlign w:val="top"/>
          </w:tcPr>
          <w:p>
            <w:pPr>
              <w:snapToGrid w:val="0"/>
              <w:spacing w:after="0" w:line="240" w:lineRule="auto"/>
              <w:rPr>
                <w:rFonts w:hAnsi="Times New Roman" w:eastAsia="Calibri" w:cs="Arial"/>
                <w:color w:val="auto"/>
              </w:rPr>
            </w:pPr>
            <w:r>
              <w:rPr>
                <w:rFonts w:hAnsi="Times New Roman" w:eastAsia="Calibri" w:cs="Arial"/>
                <w:color w:val="auto"/>
              </w:rPr>
              <w:t>7.340000</w:t>
            </w:r>
          </w:p>
        </w:tc>
        <w:tc>
          <w:tcPr>
            <w:tcW w:w="1111" w:type="dxa"/>
            <w:vAlign w:val="top"/>
          </w:tcPr>
          <w:p>
            <w:pPr>
              <w:snapToGrid w:val="0"/>
              <w:spacing w:after="0" w:line="240" w:lineRule="auto"/>
              <w:rPr>
                <w:rFonts w:hAnsi="Times New Roman" w:eastAsia="Calibri" w:cs="Arial"/>
                <w:color w:val="auto"/>
              </w:rPr>
            </w:pPr>
            <w:r>
              <w:rPr>
                <w:rFonts w:hAnsi="Times New Roman" w:eastAsia="Calibri" w:cs="Arial"/>
                <w:color w:val="auto"/>
              </w:rPr>
              <w:t>9993816</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217321.0</w:t>
            </w:r>
          </w:p>
        </w:tc>
        <w:tc>
          <w:tcPr>
            <w:tcW w:w="1064" w:type="dxa"/>
            <w:vAlign w:val="top"/>
          </w:tcPr>
          <w:p>
            <w:pPr>
              <w:snapToGrid w:val="0"/>
              <w:spacing w:after="0" w:line="240" w:lineRule="auto"/>
              <w:rPr>
                <w:rFonts w:hAnsi="Times New Roman" w:eastAsia="Calibri" w:cs="Arial"/>
                <w:color w:val="auto"/>
              </w:rPr>
            </w:pPr>
            <w:r>
              <w:rPr>
                <w:rFonts w:hAnsi="Times New Roman" w:eastAsia="Calibri" w:cs="Arial"/>
                <w:color w:val="auto"/>
              </w:rPr>
              <w:t>12.75000</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4421.410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3" w:type="dxa"/>
            <w:vAlign w:val="top"/>
          </w:tcPr>
          <w:p>
            <w:pPr>
              <w:snapToGrid w:val="0"/>
              <w:spacing w:after="0" w:line="240" w:lineRule="auto"/>
              <w:rPr>
                <w:rFonts w:hAnsi="Times New Roman" w:eastAsia="Calibri" w:cs="Arial"/>
                <w:color w:val="auto"/>
              </w:rPr>
            </w:pPr>
            <w:r>
              <w:rPr>
                <w:rFonts w:hAnsi="Times New Roman" w:eastAsia="Calibri" w:cs="Arial"/>
                <w:color w:val="auto"/>
              </w:rPr>
              <w:t>Minimum</w:t>
            </w:r>
          </w:p>
        </w:tc>
        <w:tc>
          <w:tcPr>
            <w:tcW w:w="1350" w:type="dxa"/>
            <w:vAlign w:val="top"/>
          </w:tcPr>
          <w:p>
            <w:pPr>
              <w:snapToGrid w:val="0"/>
              <w:spacing w:after="0" w:line="240" w:lineRule="auto"/>
              <w:jc w:val="center"/>
              <w:rPr>
                <w:rFonts w:hAnsi="Times New Roman" w:eastAsia="Calibri" w:cs="Arial"/>
                <w:color w:val="auto"/>
              </w:rPr>
            </w:pPr>
            <w:r>
              <w:rPr>
                <w:rFonts w:hAnsi="Times New Roman" w:eastAsia="Calibri" w:cs="Arial"/>
                <w:color w:val="auto"/>
              </w:rPr>
              <w:t>5.000000</w:t>
            </w:r>
          </w:p>
        </w:tc>
        <w:tc>
          <w:tcPr>
            <w:tcW w:w="1322" w:type="dxa"/>
            <w:vAlign w:val="top"/>
          </w:tcPr>
          <w:p>
            <w:pPr>
              <w:snapToGrid w:val="0"/>
              <w:spacing w:after="0" w:line="240" w:lineRule="auto"/>
              <w:rPr>
                <w:rFonts w:hAnsi="Times New Roman" w:eastAsia="Calibri" w:cs="Arial"/>
                <w:color w:val="auto"/>
              </w:rPr>
            </w:pPr>
            <w:r>
              <w:rPr>
                <w:rFonts w:hAnsi="Times New Roman" w:eastAsia="Calibri" w:cs="Arial"/>
                <w:color w:val="auto"/>
              </w:rPr>
              <w:t>19688.33</w:t>
            </w:r>
          </w:p>
        </w:tc>
        <w:tc>
          <w:tcPr>
            <w:tcW w:w="1249" w:type="dxa"/>
            <w:vAlign w:val="top"/>
          </w:tcPr>
          <w:p>
            <w:pPr>
              <w:snapToGrid w:val="0"/>
              <w:spacing w:after="0" w:line="240" w:lineRule="auto"/>
              <w:rPr>
                <w:rFonts w:hAnsi="Times New Roman" w:eastAsia="Calibri" w:cs="Arial"/>
                <w:color w:val="auto"/>
              </w:rPr>
            </w:pPr>
            <w:r>
              <w:rPr>
                <w:rFonts w:hAnsi="Times New Roman" w:eastAsia="Calibri" w:cs="Arial"/>
                <w:color w:val="auto"/>
              </w:rPr>
              <w:t>2.320000</w:t>
            </w:r>
          </w:p>
        </w:tc>
        <w:tc>
          <w:tcPr>
            <w:tcW w:w="1111" w:type="dxa"/>
            <w:vAlign w:val="top"/>
          </w:tcPr>
          <w:p>
            <w:pPr>
              <w:snapToGrid w:val="0"/>
              <w:spacing w:after="0" w:line="240" w:lineRule="auto"/>
              <w:rPr>
                <w:rFonts w:hAnsi="Times New Roman" w:eastAsia="Calibri" w:cs="Arial"/>
                <w:color w:val="auto"/>
              </w:rPr>
            </w:pPr>
            <w:r>
              <w:rPr>
                <w:rFonts w:hAnsi="Times New Roman" w:eastAsia="Calibri" w:cs="Arial"/>
                <w:color w:val="auto"/>
              </w:rPr>
              <w:t>1910800</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3357.000</w:t>
            </w:r>
          </w:p>
        </w:tc>
        <w:tc>
          <w:tcPr>
            <w:tcW w:w="1064" w:type="dxa"/>
            <w:vAlign w:val="top"/>
          </w:tcPr>
          <w:p>
            <w:pPr>
              <w:snapToGrid w:val="0"/>
              <w:spacing w:after="0" w:line="240" w:lineRule="auto"/>
              <w:rPr>
                <w:rFonts w:hAnsi="Times New Roman" w:eastAsia="Calibri" w:cs="Arial"/>
                <w:color w:val="auto"/>
              </w:rPr>
            </w:pPr>
            <w:r>
              <w:rPr>
                <w:rFonts w:hAnsi="Times New Roman" w:eastAsia="Calibri" w:cs="Arial"/>
                <w:color w:val="auto"/>
              </w:rPr>
              <w:t>5.750000</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220.6800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3" w:type="dxa"/>
            <w:vAlign w:val="top"/>
          </w:tcPr>
          <w:p>
            <w:pPr>
              <w:snapToGrid w:val="0"/>
              <w:spacing w:after="0" w:line="240" w:lineRule="auto"/>
              <w:ind w:right="-108"/>
              <w:rPr>
                <w:rFonts w:hAnsi="Times New Roman" w:eastAsia="Calibri" w:cs="Arial"/>
                <w:color w:val="auto"/>
              </w:rPr>
            </w:pPr>
            <w:r>
              <w:rPr>
                <w:rFonts w:hAnsi="Times New Roman" w:eastAsia="Calibri" w:cs="Arial"/>
                <w:color w:val="auto"/>
              </w:rPr>
              <w:t>Deviation Standard</w:t>
            </w:r>
          </w:p>
        </w:tc>
        <w:tc>
          <w:tcPr>
            <w:tcW w:w="1350" w:type="dxa"/>
            <w:vAlign w:val="top"/>
          </w:tcPr>
          <w:p>
            <w:pPr>
              <w:snapToGrid w:val="0"/>
              <w:spacing w:after="0" w:line="240" w:lineRule="auto"/>
              <w:jc w:val="center"/>
              <w:rPr>
                <w:rFonts w:hAnsi="Times New Roman" w:eastAsia="Calibri" w:cs="Arial"/>
                <w:color w:val="auto"/>
              </w:rPr>
            </w:pPr>
            <w:r>
              <w:rPr>
                <w:rFonts w:hAnsi="Times New Roman" w:eastAsia="Calibri" w:cs="Arial"/>
                <w:color w:val="auto"/>
              </w:rPr>
              <w:t>2.133742</w:t>
            </w:r>
          </w:p>
        </w:tc>
        <w:tc>
          <w:tcPr>
            <w:tcW w:w="1322" w:type="dxa"/>
            <w:vAlign w:val="top"/>
          </w:tcPr>
          <w:p>
            <w:pPr>
              <w:snapToGrid w:val="0"/>
              <w:spacing w:after="0" w:line="240" w:lineRule="auto"/>
              <w:rPr>
                <w:rFonts w:hAnsi="Times New Roman" w:eastAsia="Calibri" w:cs="Arial"/>
                <w:color w:val="auto"/>
              </w:rPr>
            </w:pPr>
            <w:r>
              <w:rPr>
                <w:rFonts w:hAnsi="Times New Roman" w:eastAsia="Calibri" w:cs="Arial"/>
                <w:color w:val="auto"/>
              </w:rPr>
              <w:t>6242275</w:t>
            </w:r>
          </w:p>
        </w:tc>
        <w:tc>
          <w:tcPr>
            <w:tcW w:w="1249" w:type="dxa"/>
            <w:vAlign w:val="top"/>
          </w:tcPr>
          <w:p>
            <w:pPr>
              <w:snapToGrid w:val="0"/>
              <w:spacing w:after="0" w:line="240" w:lineRule="auto"/>
              <w:rPr>
                <w:rFonts w:hAnsi="Times New Roman" w:eastAsia="Calibri" w:cs="Arial"/>
                <w:color w:val="auto"/>
              </w:rPr>
            </w:pPr>
            <w:r>
              <w:rPr>
                <w:rFonts w:hAnsi="Times New Roman" w:eastAsia="Calibri" w:cs="Arial"/>
                <w:color w:val="auto"/>
              </w:rPr>
              <w:t>1.149823</w:t>
            </w:r>
          </w:p>
        </w:tc>
        <w:tc>
          <w:tcPr>
            <w:tcW w:w="1111" w:type="dxa"/>
            <w:vAlign w:val="top"/>
          </w:tcPr>
          <w:p>
            <w:pPr>
              <w:snapToGrid w:val="0"/>
              <w:spacing w:after="0" w:line="240" w:lineRule="auto"/>
              <w:rPr>
                <w:rFonts w:hAnsi="Times New Roman" w:eastAsia="Calibri" w:cs="Arial"/>
                <w:color w:val="auto"/>
              </w:rPr>
            </w:pPr>
            <w:r>
              <w:rPr>
                <w:rFonts w:hAnsi="Times New Roman" w:eastAsia="Calibri" w:cs="Arial"/>
                <w:color w:val="auto"/>
              </w:rPr>
              <w:t>2666397</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67577.50</w:t>
            </w:r>
          </w:p>
        </w:tc>
        <w:tc>
          <w:tcPr>
            <w:tcW w:w="1064" w:type="dxa"/>
            <w:vAlign w:val="top"/>
          </w:tcPr>
          <w:p>
            <w:pPr>
              <w:snapToGrid w:val="0"/>
              <w:spacing w:after="0" w:line="240" w:lineRule="auto"/>
              <w:rPr>
                <w:rFonts w:hAnsi="Times New Roman" w:eastAsia="Calibri" w:cs="Arial"/>
                <w:color w:val="auto"/>
              </w:rPr>
            </w:pPr>
            <w:r>
              <w:rPr>
                <w:rFonts w:hAnsi="Times New Roman" w:eastAsia="Calibri" w:cs="Arial"/>
                <w:color w:val="auto"/>
              </w:rPr>
              <w:t>1.892748</w:t>
            </w:r>
          </w:p>
        </w:tc>
        <w:tc>
          <w:tcPr>
            <w:tcW w:w="1132" w:type="dxa"/>
            <w:vAlign w:val="top"/>
          </w:tcPr>
          <w:p>
            <w:pPr>
              <w:snapToGrid w:val="0"/>
              <w:spacing w:after="0" w:line="240" w:lineRule="auto"/>
              <w:rPr>
                <w:rFonts w:hAnsi="Times New Roman" w:eastAsia="Calibri" w:cs="Arial"/>
                <w:color w:val="auto"/>
              </w:rPr>
            </w:pPr>
            <w:r>
              <w:rPr>
                <w:rFonts w:hAnsi="Times New Roman" w:eastAsia="Calibri" w:cs="Arial"/>
                <w:color w:val="auto"/>
              </w:rPr>
              <w:t>1247.430</w:t>
            </w:r>
          </w:p>
        </w:tc>
      </w:tr>
    </w:tbl>
    <w:p>
      <w:pPr>
        <w:keepNext w:val="0"/>
        <w:keepLines w:val="0"/>
        <w:pageBreakBefore w:val="0"/>
        <w:widowControl/>
        <w:numPr>
          <w:ilvl w:val="0"/>
          <w:numId w:val="0"/>
        </w:numPr>
        <w:kinsoku/>
        <w:wordWrap/>
        <w:overflowPunct/>
        <w:topLinePunct w:val="0"/>
        <w:bidi w:val="0"/>
        <w:snapToGrid/>
        <w:spacing w:after="0" w:line="240" w:lineRule="auto"/>
        <w:ind w:right="0" w:rightChars="0"/>
        <w:textAlignment w:val="auto"/>
        <w:outlineLvl w:val="9"/>
        <w:rPr>
          <w:rFonts w:hint="default" w:hAnsi="Times New Roman" w:cs="Times New Roman" w:asciiTheme="minorAscii"/>
          <w:b/>
          <w:bCs/>
          <w:sz w:val="22"/>
          <w:szCs w:val="22"/>
        </w:rPr>
      </w:pPr>
    </w:p>
    <w:p>
      <w:pPr>
        <w:pStyle w:val="19"/>
        <w:numPr>
          <w:ilvl w:val="0"/>
          <w:numId w:val="0"/>
        </w:numPr>
        <w:tabs>
          <w:tab w:val="clear" w:pos="360"/>
        </w:tabs>
        <w:ind w:leftChars="0"/>
        <w:rPr>
          <w:rFonts w:hint="default" w:hAnsi="Times New Roman" w:cs="Times New Roman" w:asciiTheme="minorAscii"/>
          <w:b/>
          <w:bCs/>
          <w:sz w:val="22"/>
          <w:szCs w:val="22"/>
        </w:rPr>
      </w:pPr>
      <w:r>
        <w:rPr>
          <w:rFonts w:hint="default" w:hAnsi="Times New Roman" w:cs="Times New Roman" w:asciiTheme="minorAscii"/>
          <w:b/>
          <w:bCs/>
          <w:sz w:val="22"/>
          <w:szCs w:val="22"/>
          <w:lang w:val="en-US"/>
        </w:rPr>
        <w:t xml:space="preserve">3.2 </w:t>
      </w:r>
      <w:r>
        <w:rPr>
          <w:rFonts w:ascii="Calibri"/>
          <w:color w:val="auto"/>
          <w:sz w:val="22"/>
          <w:szCs w:val="22"/>
        </w:rPr>
        <w:t>Data Stationarity Test Results</w:t>
      </w:r>
    </w:p>
    <w:p>
      <w:pPr>
        <w:autoSpaceDE w:val="0"/>
        <w:autoSpaceDN w:val="0"/>
        <w:adjustRightInd w:val="0"/>
        <w:spacing w:after="0" w:line="240" w:lineRule="auto"/>
        <w:ind w:left="13" w:leftChars="6" w:firstLine="325"/>
        <w:contextualSpacing/>
        <w:jc w:val="both"/>
        <w:rPr>
          <w:rFonts w:hAnsi="Times New Roman" w:eastAsia="Frutiger-Light"/>
          <w:color w:val="auto"/>
        </w:rPr>
      </w:pPr>
      <w:r>
        <w:rPr>
          <w:rFonts w:hAnsi="Times New Roman" w:eastAsia="Frutiger-Light"/>
          <w:color w:val="auto"/>
        </w:rPr>
        <w:t>Before model estimation with TSLS, a standard procedure is performed first to test whether the data contain unit root, which means that the data are not stationary or, on the contrary, the data do not contain unit root, which means that the data are stationary. The ADF (Augmented Dickey-Fuller) test is employed to test the stationary of data.</w:t>
      </w:r>
    </w:p>
    <w:p>
      <w:pPr>
        <w:autoSpaceDE w:val="0"/>
        <w:autoSpaceDN w:val="0"/>
        <w:adjustRightInd w:val="0"/>
        <w:spacing w:after="0" w:line="240" w:lineRule="auto"/>
        <w:ind w:left="13" w:leftChars="6" w:firstLine="325" w:firstLineChars="0"/>
        <w:contextualSpacing/>
        <w:jc w:val="both"/>
        <w:rPr>
          <w:rFonts w:hint="default" w:hAnsi="Times New Roman" w:eastAsia="Frutiger-Light" w:cs="Times New Roman" w:asciiTheme="minorAscii"/>
          <w:sz w:val="22"/>
          <w:szCs w:val="22"/>
        </w:rPr>
      </w:pPr>
    </w:p>
    <w:p>
      <w:pPr>
        <w:pStyle w:val="20"/>
        <w:keepNext w:val="0"/>
        <w:keepLines w:val="0"/>
        <w:pageBreakBefore w:val="0"/>
        <w:widowControl/>
        <w:kinsoku/>
        <w:wordWrap/>
        <w:overflowPunct/>
        <w:topLinePunct w:val="0"/>
        <w:autoSpaceDE w:val="0"/>
        <w:autoSpaceDN w:val="0"/>
        <w:bidi w:val="0"/>
        <w:adjustRightInd w:val="0"/>
        <w:snapToGrid w:val="0"/>
        <w:spacing w:after="0" w:line="240" w:lineRule="auto"/>
        <w:ind w:left="709" w:leftChars="0" w:hanging="669" w:firstLineChars="0"/>
        <w:jc w:val="both"/>
        <w:textAlignment w:val="auto"/>
        <w:outlineLvl w:val="9"/>
        <w:rPr>
          <w:rFonts w:hint="default" w:hAnsi="Times New Roman" w:eastAsia="Frutiger-Light" w:cs="Times New Roman" w:asciiTheme="minorAscii"/>
          <w:sz w:val="22"/>
          <w:szCs w:val="22"/>
          <w:lang w:val="en-US"/>
        </w:rPr>
      </w:pPr>
      <w:r>
        <w:rPr>
          <w:rFonts w:hint="default" w:hAnsi="Times New Roman" w:eastAsia="Frutiger-Light" w:cs="Times New Roman" w:asciiTheme="minorAscii"/>
          <w:sz w:val="22"/>
          <w:szCs w:val="22"/>
          <w:lang w:val="en-US"/>
        </w:rPr>
        <w:t xml:space="preserve">Tabel 3.2 </w:t>
      </w:r>
      <w:r>
        <w:rPr>
          <w:rFonts w:hAnsi="Times New Roman" w:eastAsia="Frutiger-Light"/>
          <w:color w:val="auto"/>
        </w:rPr>
        <w:t>Table of Data Stationarity Test Results</w:t>
      </w:r>
    </w:p>
    <w:tbl>
      <w:tblPr>
        <w:tblStyle w:val="9"/>
        <w:tblpPr w:leftFromText="180" w:rightFromText="180" w:vertAnchor="text" w:horzAnchor="page" w:tblpX="1300" w:tblpY="202"/>
        <w:tblOverlap w:val="never"/>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1416"/>
        <w:gridCol w:w="1709"/>
        <w:gridCol w:w="18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3" w:type="dxa"/>
            <w:vMerge w:val="restart"/>
            <w:vAlign w:val="top"/>
          </w:tcPr>
          <w:p>
            <w:pPr>
              <w:autoSpaceDE w:val="0"/>
              <w:autoSpaceDN w:val="0"/>
              <w:adjustRightInd w:val="0"/>
              <w:spacing w:after="0" w:line="240" w:lineRule="auto"/>
              <w:jc w:val="center"/>
              <w:rPr>
                <w:rFonts w:hAnsi="Times New Roman" w:eastAsia="Frutiger-Light"/>
                <w:b/>
                <w:bCs/>
                <w:color w:val="auto"/>
              </w:rPr>
            </w:pPr>
            <w:r>
              <w:rPr>
                <w:rFonts w:hAnsi="Times New Roman"/>
                <w:b/>
                <w:bCs/>
                <w:color w:val="auto"/>
              </w:rPr>
              <w:t>Variable</w:t>
            </w:r>
          </w:p>
        </w:tc>
        <w:tc>
          <w:tcPr>
            <w:tcW w:w="1416" w:type="dxa"/>
            <w:vMerge w:val="restart"/>
            <w:vAlign w:val="top"/>
          </w:tcPr>
          <w:p>
            <w:pPr>
              <w:autoSpaceDE w:val="0"/>
              <w:autoSpaceDN w:val="0"/>
              <w:adjustRightInd w:val="0"/>
              <w:spacing w:after="0" w:line="240" w:lineRule="auto"/>
              <w:jc w:val="center"/>
              <w:rPr>
                <w:rFonts w:hAnsi="Times New Roman" w:eastAsia="Frutiger-Light"/>
                <w:b/>
                <w:bCs/>
                <w:color w:val="auto"/>
              </w:rPr>
            </w:pPr>
            <w:r>
              <w:rPr>
                <w:rFonts w:hAnsi="Times New Roman"/>
                <w:b/>
                <w:bCs/>
                <w:color w:val="auto"/>
              </w:rPr>
              <w:t>Symbol</w:t>
            </w:r>
          </w:p>
        </w:tc>
        <w:tc>
          <w:tcPr>
            <w:tcW w:w="3576" w:type="dxa"/>
            <w:gridSpan w:val="2"/>
            <w:vAlign w:val="top"/>
          </w:tcPr>
          <w:p>
            <w:pPr>
              <w:autoSpaceDE w:val="0"/>
              <w:autoSpaceDN w:val="0"/>
              <w:adjustRightInd w:val="0"/>
              <w:spacing w:after="0" w:line="240" w:lineRule="auto"/>
              <w:jc w:val="center"/>
              <w:rPr>
                <w:rFonts w:hAnsi="Times New Roman" w:eastAsia="Frutiger-Light"/>
                <w:b/>
                <w:bCs/>
                <w:color w:val="auto"/>
              </w:rPr>
            </w:pPr>
            <w:r>
              <w:rPr>
                <w:rFonts w:hAnsi="Times New Roman"/>
                <w:b/>
                <w:bCs/>
                <w:color w:val="auto"/>
              </w:rPr>
              <w:t>ADF Test Statistic *)</w:t>
            </w:r>
          </w:p>
        </w:tc>
        <w:tc>
          <w:tcPr>
            <w:tcW w:w="2167" w:type="dxa"/>
            <w:vMerge w:val="restart"/>
            <w:vAlign w:val="top"/>
          </w:tcPr>
          <w:p>
            <w:pPr>
              <w:autoSpaceDE w:val="0"/>
              <w:autoSpaceDN w:val="0"/>
              <w:adjustRightInd w:val="0"/>
              <w:spacing w:after="0" w:line="240" w:lineRule="auto"/>
              <w:jc w:val="center"/>
              <w:rPr>
                <w:rFonts w:hAnsi="Times New Roman" w:eastAsia="Frutiger-Light"/>
                <w:b/>
                <w:bCs/>
                <w:color w:val="auto"/>
              </w:rPr>
            </w:pPr>
            <w:r>
              <w:rPr>
                <w:rFonts w:hAnsi="Times New Roman" w:eastAsia="Frutiger-Light"/>
                <w:b/>
                <w:bCs/>
                <w:color w:val="auto"/>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213" w:type="dxa"/>
            <w:vMerge w:val="continue"/>
            <w:vAlign w:val="top"/>
          </w:tcPr>
          <w:p>
            <w:pPr>
              <w:autoSpaceDE w:val="0"/>
              <w:autoSpaceDN w:val="0"/>
              <w:adjustRightInd w:val="0"/>
              <w:spacing w:after="0" w:line="240" w:lineRule="auto"/>
              <w:jc w:val="center"/>
              <w:rPr>
                <w:rFonts w:hAnsi="Times New Roman" w:eastAsia="Frutiger-Light"/>
                <w:b/>
                <w:bCs/>
                <w:color w:val="auto"/>
              </w:rPr>
            </w:pPr>
          </w:p>
        </w:tc>
        <w:tc>
          <w:tcPr>
            <w:tcW w:w="1416" w:type="dxa"/>
            <w:vMerge w:val="continue"/>
            <w:vAlign w:val="top"/>
          </w:tcPr>
          <w:p>
            <w:pPr>
              <w:autoSpaceDE w:val="0"/>
              <w:autoSpaceDN w:val="0"/>
              <w:adjustRightInd w:val="0"/>
              <w:spacing w:after="0" w:line="240" w:lineRule="auto"/>
              <w:jc w:val="center"/>
              <w:rPr>
                <w:rFonts w:hAnsi="Times New Roman" w:eastAsia="Frutiger-Light"/>
                <w:b/>
                <w:bCs/>
                <w:color w:val="auto"/>
              </w:rPr>
            </w:pPr>
          </w:p>
        </w:tc>
        <w:tc>
          <w:tcPr>
            <w:tcW w:w="1709" w:type="dxa"/>
            <w:vAlign w:val="top"/>
          </w:tcPr>
          <w:p>
            <w:pPr>
              <w:autoSpaceDE w:val="0"/>
              <w:autoSpaceDN w:val="0"/>
              <w:adjustRightInd w:val="0"/>
              <w:spacing w:after="0" w:line="240" w:lineRule="auto"/>
              <w:jc w:val="center"/>
              <w:rPr>
                <w:rFonts w:hAnsi="Times New Roman"/>
                <w:b/>
                <w:bCs/>
                <w:color w:val="auto"/>
              </w:rPr>
            </w:pPr>
            <w:r>
              <w:rPr>
                <w:rFonts w:hAnsi="Times New Roman"/>
                <w:b/>
                <w:bCs/>
                <w:color w:val="auto"/>
              </w:rPr>
              <w:t>Level</w:t>
            </w:r>
          </w:p>
          <w:p>
            <w:pPr>
              <w:autoSpaceDE w:val="0"/>
              <w:autoSpaceDN w:val="0"/>
              <w:adjustRightInd w:val="0"/>
              <w:spacing w:after="0" w:line="240" w:lineRule="auto"/>
              <w:jc w:val="center"/>
              <w:rPr>
                <w:rFonts w:hAnsi="Times New Roman" w:eastAsia="Frutiger-Light"/>
                <w:b/>
                <w:bCs/>
                <w:color w:val="auto"/>
              </w:rPr>
            </w:pPr>
            <w:r>
              <w:rPr>
                <w:rFonts w:hAnsi="Times New Roman"/>
                <w:b/>
                <w:bCs/>
                <w:color w:val="auto"/>
              </w:rPr>
              <w:t>(P Value)</w:t>
            </w:r>
          </w:p>
        </w:tc>
        <w:tc>
          <w:tcPr>
            <w:tcW w:w="1867" w:type="dxa"/>
            <w:vAlign w:val="top"/>
          </w:tcPr>
          <w:p>
            <w:pPr>
              <w:autoSpaceDE w:val="0"/>
              <w:autoSpaceDN w:val="0"/>
              <w:adjustRightInd w:val="0"/>
              <w:spacing w:after="0" w:line="240" w:lineRule="auto"/>
              <w:jc w:val="center"/>
              <w:rPr>
                <w:rFonts w:hAnsi="Times New Roman"/>
                <w:b/>
                <w:bCs/>
                <w:i/>
                <w:iCs/>
                <w:color w:val="auto"/>
              </w:rPr>
            </w:pPr>
            <w:r>
              <w:rPr>
                <w:rFonts w:hAnsi="Times New Roman"/>
                <w:b/>
                <w:bCs/>
                <w:i/>
                <w:iCs/>
                <w:color w:val="auto"/>
              </w:rPr>
              <w:t>First</w:t>
            </w:r>
          </w:p>
          <w:p>
            <w:pPr>
              <w:autoSpaceDE w:val="0"/>
              <w:autoSpaceDN w:val="0"/>
              <w:adjustRightInd w:val="0"/>
              <w:spacing w:after="0" w:line="240" w:lineRule="auto"/>
              <w:jc w:val="center"/>
              <w:rPr>
                <w:rFonts w:hAnsi="Times New Roman"/>
                <w:b/>
                <w:bCs/>
                <w:color w:val="auto"/>
              </w:rPr>
            </w:pPr>
            <w:r>
              <w:rPr>
                <w:rFonts w:hAnsi="Times New Roman"/>
                <w:b/>
                <w:bCs/>
                <w:i/>
                <w:iCs/>
                <w:color w:val="auto"/>
              </w:rPr>
              <w:t>Difference</w:t>
            </w:r>
          </w:p>
        </w:tc>
        <w:tc>
          <w:tcPr>
            <w:tcW w:w="2167" w:type="dxa"/>
            <w:vMerge w:val="continue"/>
            <w:vAlign w:val="top"/>
          </w:tcPr>
          <w:p>
            <w:pPr>
              <w:autoSpaceDE w:val="0"/>
              <w:autoSpaceDN w:val="0"/>
              <w:adjustRightInd w:val="0"/>
              <w:spacing w:after="0" w:line="240" w:lineRule="auto"/>
              <w:jc w:val="center"/>
              <w:rPr>
                <w:rFonts w:hAnsi="Times New Roman" w:eastAsia="Frutiger-Light"/>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3" w:type="dxa"/>
            <w:vAlign w:val="top"/>
          </w:tcPr>
          <w:p>
            <w:pPr>
              <w:spacing w:after="0" w:line="240" w:lineRule="auto"/>
              <w:contextualSpacing/>
              <w:rPr>
                <w:rFonts w:hAnsi="Times New Roman" w:eastAsia="Frutiger-Light"/>
                <w:color w:val="auto"/>
              </w:rPr>
            </w:pPr>
            <w:r>
              <w:rPr>
                <w:rFonts w:hAnsi="Times New Roman"/>
                <w:color w:val="auto"/>
              </w:rPr>
              <w:t xml:space="preserve">Sharia Commercial Bank Financing </w:t>
            </w:r>
          </w:p>
        </w:tc>
        <w:tc>
          <w:tcPr>
            <w:tcW w:w="1416"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color w:val="auto"/>
              </w:rPr>
              <w:t>Ln  SPemb</w:t>
            </w:r>
            <w:r>
              <w:rPr>
                <w:rFonts w:hAnsi="Times New Roman"/>
                <w:color w:val="auto"/>
                <w:vertAlign w:val="subscript"/>
              </w:rPr>
              <w:t>t</w:t>
            </w:r>
          </w:p>
        </w:tc>
        <w:tc>
          <w:tcPr>
            <w:tcW w:w="1709" w:type="dxa"/>
            <w:vAlign w:val="center"/>
          </w:tcPr>
          <w:p>
            <w:pPr>
              <w:autoSpaceDE w:val="0"/>
              <w:autoSpaceDN w:val="0"/>
              <w:adjustRightInd w:val="0"/>
              <w:spacing w:after="0" w:line="240" w:lineRule="auto"/>
              <w:jc w:val="center"/>
              <w:rPr>
                <w:rFonts w:hAnsi="Times New Roman"/>
                <w:b/>
                <w:bCs/>
                <w:color w:val="auto"/>
              </w:rPr>
            </w:pPr>
            <w:r>
              <w:rPr>
                <w:rFonts w:hAnsi="Times New Roman"/>
                <w:color w:val="auto"/>
              </w:rPr>
              <w:t>-4.072702</w:t>
            </w:r>
          </w:p>
        </w:tc>
        <w:tc>
          <w:tcPr>
            <w:tcW w:w="1867" w:type="dxa"/>
            <w:vAlign w:val="center"/>
          </w:tcPr>
          <w:p>
            <w:pPr>
              <w:autoSpaceDE w:val="0"/>
              <w:autoSpaceDN w:val="0"/>
              <w:adjustRightInd w:val="0"/>
              <w:spacing w:after="0" w:line="240" w:lineRule="auto"/>
              <w:jc w:val="center"/>
              <w:rPr>
                <w:rFonts w:hAnsi="Times New Roman"/>
                <w:b/>
                <w:bCs/>
                <w:color w:val="auto"/>
              </w:rPr>
            </w:pPr>
            <w:r>
              <w:rPr>
                <w:rFonts w:hAnsi="Times New Roman"/>
                <w:b/>
                <w:bCs/>
                <w:color w:val="auto"/>
              </w:rPr>
              <w:t>-</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3" w:type="dxa"/>
            <w:vAlign w:val="top"/>
          </w:tcPr>
          <w:p>
            <w:pPr>
              <w:spacing w:after="0" w:line="240" w:lineRule="auto"/>
              <w:contextualSpacing/>
              <w:rPr>
                <w:rFonts w:hAnsi="Times New Roman"/>
                <w:color w:val="auto"/>
              </w:rPr>
            </w:pPr>
            <w:r>
              <w:rPr>
                <w:rFonts w:hAnsi="Times New Roman"/>
                <w:color w:val="auto"/>
              </w:rPr>
              <w:t>Third Party Fund</w:t>
            </w:r>
          </w:p>
        </w:tc>
        <w:tc>
          <w:tcPr>
            <w:tcW w:w="1416"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Ln DPK</w:t>
            </w:r>
            <w:r>
              <w:rPr>
                <w:rFonts w:hAnsi="Times New Roman"/>
                <w:color w:val="auto"/>
                <w:vertAlign w:val="subscript"/>
              </w:rPr>
              <w:t>t</w:t>
            </w:r>
          </w:p>
        </w:tc>
        <w:tc>
          <w:tcPr>
            <w:tcW w:w="1709"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-12.26367</w:t>
            </w:r>
          </w:p>
        </w:tc>
        <w:tc>
          <w:tcPr>
            <w:tcW w:w="1867" w:type="dxa"/>
            <w:vAlign w:val="center"/>
          </w:tcPr>
          <w:p>
            <w:pPr>
              <w:autoSpaceDE w:val="0"/>
              <w:autoSpaceDN w:val="0"/>
              <w:adjustRightInd w:val="0"/>
              <w:spacing w:after="0" w:line="240" w:lineRule="auto"/>
              <w:jc w:val="center"/>
              <w:rPr>
                <w:rFonts w:hAnsi="Times New Roman"/>
                <w:b/>
                <w:bCs/>
                <w:color w:val="auto"/>
              </w:rPr>
            </w:pPr>
            <w:r>
              <w:rPr>
                <w:rFonts w:hAnsi="Times New Roman"/>
                <w:b/>
                <w:bCs/>
                <w:color w:val="auto"/>
              </w:rPr>
              <w:t>-</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3" w:type="dxa"/>
            <w:vAlign w:val="top"/>
          </w:tcPr>
          <w:p>
            <w:pPr>
              <w:spacing w:after="0" w:line="240" w:lineRule="auto"/>
              <w:contextualSpacing/>
              <w:rPr>
                <w:rFonts w:hAnsi="Times New Roman"/>
                <w:color w:val="auto"/>
              </w:rPr>
            </w:pPr>
            <w:r>
              <w:rPr>
                <w:rFonts w:hAnsi="Times New Roman"/>
                <w:color w:val="auto"/>
              </w:rPr>
              <w:t>Non-Performing Financing</w:t>
            </w:r>
          </w:p>
        </w:tc>
        <w:tc>
          <w:tcPr>
            <w:tcW w:w="1416"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NPF</w:t>
            </w:r>
          </w:p>
        </w:tc>
        <w:tc>
          <w:tcPr>
            <w:tcW w:w="1709"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-2.710516</w:t>
            </w:r>
          </w:p>
        </w:tc>
        <w:tc>
          <w:tcPr>
            <w:tcW w:w="1867" w:type="dxa"/>
            <w:vAlign w:val="center"/>
          </w:tcPr>
          <w:p>
            <w:pPr>
              <w:autoSpaceDE w:val="0"/>
              <w:autoSpaceDN w:val="0"/>
              <w:adjustRightInd w:val="0"/>
              <w:spacing w:after="0" w:line="240" w:lineRule="auto"/>
              <w:jc w:val="center"/>
              <w:rPr>
                <w:rFonts w:hAnsi="Times New Roman"/>
                <w:b/>
                <w:bCs/>
                <w:color w:val="auto"/>
              </w:rPr>
            </w:pPr>
            <w:r>
              <w:rPr>
                <w:rFonts w:hAnsi="Times New Roman"/>
                <w:b/>
                <w:bCs/>
                <w:color w:val="auto"/>
              </w:rPr>
              <w:t>-</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3" w:type="dxa"/>
            <w:vAlign w:val="top"/>
          </w:tcPr>
          <w:p>
            <w:pPr>
              <w:spacing w:after="0" w:line="240" w:lineRule="auto"/>
              <w:contextualSpacing/>
              <w:rPr>
                <w:rFonts w:hAnsi="Times New Roman"/>
                <w:i/>
                <w:iCs/>
                <w:color w:val="auto"/>
              </w:rPr>
            </w:pPr>
            <w:r>
              <w:rPr>
                <w:rFonts w:hAnsi="Times New Roman"/>
                <w:color w:val="auto"/>
              </w:rPr>
              <w:t>Profit sharing rate given by sharia commercial bank (percent)</w:t>
            </w:r>
          </w:p>
        </w:tc>
        <w:tc>
          <w:tcPr>
            <w:tcW w:w="1416"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TBH</w:t>
            </w:r>
          </w:p>
        </w:tc>
        <w:tc>
          <w:tcPr>
            <w:tcW w:w="1709"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-3.814988</w:t>
            </w:r>
          </w:p>
        </w:tc>
        <w:tc>
          <w:tcPr>
            <w:tcW w:w="1867" w:type="dxa"/>
            <w:vAlign w:val="center"/>
          </w:tcPr>
          <w:p>
            <w:pPr>
              <w:autoSpaceDE w:val="0"/>
              <w:autoSpaceDN w:val="0"/>
              <w:adjustRightInd w:val="0"/>
              <w:spacing w:after="0" w:line="240" w:lineRule="auto"/>
              <w:jc w:val="center"/>
              <w:rPr>
                <w:rFonts w:hAnsi="Times New Roman"/>
                <w:b/>
                <w:bCs/>
                <w:color w:val="auto"/>
              </w:rPr>
            </w:pPr>
            <w:r>
              <w:rPr>
                <w:rFonts w:hAnsi="Times New Roman"/>
                <w:b/>
                <w:bCs/>
                <w:color w:val="auto"/>
              </w:rPr>
              <w:t>-</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13" w:type="dxa"/>
            <w:vAlign w:val="top"/>
          </w:tcPr>
          <w:p>
            <w:pPr>
              <w:autoSpaceDE w:val="0"/>
              <w:autoSpaceDN w:val="0"/>
              <w:adjustRightInd w:val="0"/>
              <w:spacing w:after="0" w:line="240" w:lineRule="auto"/>
              <w:contextualSpacing/>
              <w:rPr>
                <w:rFonts w:hAnsi="Times New Roman"/>
                <w:color w:val="auto"/>
              </w:rPr>
            </w:pPr>
            <w:r>
              <w:rPr>
                <w:rFonts w:hAnsi="Times New Roman"/>
                <w:color w:val="auto"/>
              </w:rPr>
              <w:t>Bank Indonesia  Wadiah Certificate in possession of sharia commercial bank</w:t>
            </w:r>
          </w:p>
        </w:tc>
        <w:tc>
          <w:tcPr>
            <w:tcW w:w="1416"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Ln SWBI</w:t>
            </w:r>
          </w:p>
        </w:tc>
        <w:tc>
          <w:tcPr>
            <w:tcW w:w="1709"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-2.130718</w:t>
            </w:r>
          </w:p>
        </w:tc>
        <w:tc>
          <w:tcPr>
            <w:tcW w:w="1867"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-10.62636</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 xml:space="preserve">Stationary in </w:t>
            </w:r>
            <w:r>
              <w:rPr>
                <w:rFonts w:hAnsi="Times New Roman" w:eastAsia="Frutiger-Light"/>
                <w:i/>
                <w:iCs/>
                <w:color w:val="auto"/>
              </w:rPr>
              <w:t>first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2213" w:type="dxa"/>
            <w:vAlign w:val="top"/>
          </w:tcPr>
          <w:p>
            <w:pPr>
              <w:autoSpaceDE w:val="0"/>
              <w:autoSpaceDN w:val="0"/>
              <w:adjustRightInd w:val="0"/>
              <w:spacing w:after="0" w:line="240" w:lineRule="auto"/>
              <w:rPr>
                <w:rFonts w:hAnsi="Times New Roman"/>
                <w:color w:val="auto"/>
              </w:rPr>
            </w:pPr>
            <w:r>
              <w:rPr>
                <w:rFonts w:hAnsi="Times New Roman"/>
                <w:color w:val="auto"/>
              </w:rPr>
              <w:t>Real  Domestic Product on the basis of 2002 price (million Rupiahs)</w:t>
            </w:r>
          </w:p>
        </w:tc>
        <w:tc>
          <w:tcPr>
            <w:tcW w:w="1416"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Ln PDB</w:t>
            </w:r>
          </w:p>
        </w:tc>
        <w:tc>
          <w:tcPr>
            <w:tcW w:w="1709" w:type="dxa"/>
            <w:vAlign w:val="center"/>
          </w:tcPr>
          <w:p>
            <w:pPr>
              <w:autoSpaceDE w:val="0"/>
              <w:autoSpaceDN w:val="0"/>
              <w:adjustRightInd w:val="0"/>
              <w:spacing w:after="0" w:line="240" w:lineRule="auto"/>
              <w:jc w:val="center"/>
              <w:rPr>
                <w:rFonts w:hAnsi="Times New Roman"/>
                <w:b/>
                <w:bCs/>
                <w:color w:val="auto"/>
              </w:rPr>
            </w:pPr>
            <w:r>
              <w:rPr>
                <w:rFonts w:hAnsi="Times New Roman"/>
                <w:color w:val="auto"/>
              </w:rPr>
              <w:t>-3.443189</w:t>
            </w:r>
          </w:p>
        </w:tc>
        <w:tc>
          <w:tcPr>
            <w:tcW w:w="1867" w:type="dxa"/>
            <w:vAlign w:val="center"/>
          </w:tcPr>
          <w:p>
            <w:pPr>
              <w:autoSpaceDE w:val="0"/>
              <w:autoSpaceDN w:val="0"/>
              <w:adjustRightInd w:val="0"/>
              <w:spacing w:after="0" w:line="240" w:lineRule="auto"/>
              <w:jc w:val="center"/>
              <w:rPr>
                <w:rFonts w:hAnsi="Times New Roman"/>
                <w:color w:val="auto"/>
              </w:rPr>
            </w:pPr>
            <w:r>
              <w:rPr>
                <w:rFonts w:hAnsi="Times New Roman"/>
                <w:b/>
                <w:bCs/>
                <w:color w:val="auto"/>
              </w:rPr>
              <w:t>-</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Stationary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3" w:type="dxa"/>
            <w:vAlign w:val="top"/>
          </w:tcPr>
          <w:p>
            <w:pPr>
              <w:autoSpaceDE w:val="0"/>
              <w:autoSpaceDN w:val="0"/>
              <w:adjustRightInd w:val="0"/>
              <w:spacing w:after="0" w:line="240" w:lineRule="auto"/>
              <w:rPr>
                <w:rFonts w:hAnsi="Times New Roman"/>
                <w:color w:val="auto"/>
              </w:rPr>
            </w:pPr>
            <w:r>
              <w:rPr>
                <w:rFonts w:hAnsi="Times New Roman"/>
                <w:color w:val="auto"/>
              </w:rPr>
              <w:t>Bank Indonesia Certificate Interest Rate</w:t>
            </w:r>
          </w:p>
        </w:tc>
        <w:tc>
          <w:tcPr>
            <w:tcW w:w="1416" w:type="dxa"/>
            <w:vAlign w:val="center"/>
          </w:tcPr>
          <w:p>
            <w:pPr>
              <w:autoSpaceDE w:val="0"/>
              <w:autoSpaceDN w:val="0"/>
              <w:adjustRightInd w:val="0"/>
              <w:spacing w:after="0" w:line="240" w:lineRule="auto"/>
              <w:jc w:val="center"/>
              <w:rPr>
                <w:rFonts w:hAnsi="Times New Roman"/>
                <w:color w:val="auto"/>
              </w:rPr>
            </w:pPr>
            <w:r>
              <w:rPr>
                <w:rFonts w:hAnsi="Times New Roman"/>
                <w:color w:val="auto"/>
              </w:rPr>
              <w:t>SBI</w:t>
            </w:r>
          </w:p>
        </w:tc>
        <w:tc>
          <w:tcPr>
            <w:tcW w:w="1709" w:type="dxa"/>
            <w:vAlign w:val="center"/>
          </w:tcPr>
          <w:p>
            <w:pPr>
              <w:autoSpaceDE w:val="0"/>
              <w:autoSpaceDN w:val="0"/>
              <w:adjustRightInd w:val="0"/>
              <w:spacing w:after="0" w:line="240" w:lineRule="auto"/>
              <w:jc w:val="center"/>
              <w:rPr>
                <w:rFonts w:hAnsi="Times New Roman"/>
                <w:b/>
                <w:bCs/>
                <w:color w:val="auto"/>
              </w:rPr>
            </w:pPr>
            <w:r>
              <w:rPr>
                <w:rFonts w:hAnsi="Times New Roman"/>
                <w:color w:val="auto"/>
              </w:rPr>
              <w:t>-2.609522</w:t>
            </w:r>
          </w:p>
        </w:tc>
        <w:tc>
          <w:tcPr>
            <w:tcW w:w="1867" w:type="dxa"/>
            <w:vAlign w:val="center"/>
          </w:tcPr>
          <w:p>
            <w:pPr>
              <w:autoSpaceDE w:val="0"/>
              <w:autoSpaceDN w:val="0"/>
              <w:adjustRightInd w:val="0"/>
              <w:spacing w:after="0" w:line="240" w:lineRule="auto"/>
              <w:jc w:val="center"/>
              <w:rPr>
                <w:rFonts w:hAnsi="Times New Roman"/>
                <w:b/>
                <w:bCs/>
                <w:color w:val="auto"/>
              </w:rPr>
            </w:pPr>
            <w:r>
              <w:rPr>
                <w:rFonts w:hAnsi="Times New Roman"/>
                <w:b/>
                <w:bCs/>
                <w:color w:val="auto"/>
              </w:rPr>
              <w:t>-</w:t>
            </w:r>
          </w:p>
        </w:tc>
        <w:tc>
          <w:tcPr>
            <w:tcW w:w="2167"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Stationary</w:t>
            </w:r>
          </w:p>
        </w:tc>
      </w:tr>
    </w:tbl>
    <w:p>
      <w:pPr>
        <w:autoSpaceDE w:val="0"/>
        <w:autoSpaceDN w:val="0"/>
        <w:adjustRightInd w:val="0"/>
        <w:spacing w:after="0" w:line="240" w:lineRule="auto"/>
        <w:jc w:val="both"/>
        <w:rPr>
          <w:rFonts w:hAnsi="Times New Roman" w:eastAsia="Frutiger-Light"/>
          <w:color w:val="auto"/>
        </w:rPr>
      </w:pPr>
    </w:p>
    <w:p>
      <w:pPr>
        <w:autoSpaceDE w:val="0"/>
        <w:autoSpaceDN w:val="0"/>
        <w:adjustRightInd w:val="0"/>
        <w:spacing w:after="0" w:line="240" w:lineRule="auto"/>
        <w:jc w:val="both"/>
        <w:rPr>
          <w:rFonts w:hint="default" w:hAnsi="Times New Roman" w:eastAsia="Frutiger-Light" w:cs="Times New Roman" w:asciiTheme="minorAscii"/>
          <w:sz w:val="22"/>
          <w:szCs w:val="22"/>
        </w:rPr>
      </w:pPr>
      <w:r>
        <w:rPr>
          <w:rFonts w:hAnsi="Times New Roman" w:eastAsia="Frutiger-Light"/>
          <w:color w:val="auto"/>
        </w:rPr>
        <w:t xml:space="preserve">The Table above shows that the data in use are mostly stationary at data level, while only one variable, which is </w:t>
      </w:r>
      <w:r>
        <w:rPr>
          <w:rFonts w:hAnsi="Times New Roman"/>
          <w:color w:val="auto"/>
        </w:rPr>
        <w:t xml:space="preserve">Bank Indonesia Wadiah Certificate owned by sharia commercial bank, will be stationary in </w:t>
      </w:r>
      <w:r>
        <w:rPr>
          <w:rFonts w:hAnsi="Times New Roman" w:eastAsia="Frutiger-Light"/>
          <w:i/>
          <w:iCs w:val="0"/>
          <w:color w:val="auto"/>
        </w:rPr>
        <w:t xml:space="preserve">first difference. </w:t>
      </w:r>
    </w:p>
    <w:p>
      <w:pPr>
        <w:pStyle w:val="19"/>
        <w:numPr>
          <w:ilvl w:val="0"/>
          <w:numId w:val="0"/>
        </w:numPr>
        <w:tabs>
          <w:tab w:val="clear" w:pos="360"/>
        </w:tabs>
        <w:ind w:leftChars="0"/>
        <w:rPr>
          <w:rFonts w:ascii="Calibri"/>
          <w:color w:val="auto"/>
          <w:sz w:val="22"/>
          <w:szCs w:val="22"/>
        </w:rPr>
      </w:pPr>
      <w:r>
        <w:rPr>
          <w:rFonts w:hint="default" w:hAnsi="Times New Roman" w:cs="Times New Roman" w:asciiTheme="minorAscii"/>
          <w:b/>
          <w:bCs/>
          <w:sz w:val="22"/>
          <w:szCs w:val="22"/>
          <w:lang w:val="en-US"/>
        </w:rPr>
        <w:t xml:space="preserve">3.3 </w:t>
      </w:r>
      <w:r>
        <w:rPr>
          <w:rFonts w:hint="default" w:hAnsi="Times New Roman" w:cs="Times New Roman" w:asciiTheme="minorAscii"/>
          <w:b/>
          <w:bCs/>
          <w:sz w:val="22"/>
          <w:szCs w:val="22"/>
        </w:rPr>
        <w:t xml:space="preserve"> </w:t>
      </w:r>
      <w:r>
        <w:rPr>
          <w:rFonts w:ascii="Calibri"/>
          <w:color w:val="auto"/>
          <w:sz w:val="22"/>
          <w:szCs w:val="22"/>
        </w:rPr>
        <w:t xml:space="preserve">Regression Analysis on Financing Supply </w:t>
      </w:r>
    </w:p>
    <w:p>
      <w:pPr>
        <w:autoSpaceDE w:val="0"/>
        <w:autoSpaceDN w:val="0"/>
        <w:adjustRightInd w:val="0"/>
        <w:spacing w:after="0" w:line="240" w:lineRule="auto"/>
        <w:ind w:left="13" w:leftChars="6" w:firstLine="385"/>
        <w:jc w:val="both"/>
        <w:rPr>
          <w:rFonts w:hAnsi="Times New Roman" w:eastAsia="Frutiger-Light"/>
          <w:color w:val="auto"/>
        </w:rPr>
      </w:pPr>
      <w:r>
        <w:rPr>
          <w:rFonts w:hAnsi="Times New Roman" w:eastAsia="Frutiger-Light"/>
          <w:color w:val="auto"/>
        </w:rPr>
        <w:t>The results of TSLS estimation on sharia financing supply equation in the sample period of January 2003-Juli 2015 (150 observations) are briefly presented in Table 3.3</w:t>
      </w:r>
    </w:p>
    <w:p>
      <w:pPr>
        <w:autoSpaceDE w:val="0"/>
        <w:autoSpaceDN w:val="0"/>
        <w:adjustRightInd w:val="0"/>
        <w:spacing w:after="0" w:line="240" w:lineRule="auto"/>
        <w:ind w:left="13" w:leftChars="6" w:firstLine="385"/>
        <w:jc w:val="both"/>
        <w:rPr>
          <w:rFonts w:hint="default" w:hAnsi="Times New Roman" w:eastAsia="Frutiger-Light"/>
          <w:color w:val="auto"/>
        </w:rPr>
      </w:pPr>
    </w:p>
    <w:p>
      <w:pPr>
        <w:autoSpaceDE w:val="0"/>
        <w:autoSpaceDN w:val="0"/>
        <w:adjustRightInd w:val="0"/>
        <w:spacing w:after="0" w:line="240" w:lineRule="auto"/>
        <w:jc w:val="both"/>
        <w:rPr>
          <w:rFonts w:hint="default" w:hAnsi="Times New Roman" w:eastAsia="Frutiger-Light" w:cs="Times New Roman" w:asciiTheme="minorAscii"/>
          <w:sz w:val="22"/>
          <w:szCs w:val="22"/>
        </w:rPr>
      </w:pPr>
      <w:r>
        <w:rPr>
          <w:rFonts w:hint="default" w:hAnsi="Times New Roman" w:eastAsia="Frutiger-Light" w:cs="Times New Roman" w:asciiTheme="minorAscii"/>
          <w:bCs/>
          <w:sz w:val="22"/>
          <w:szCs w:val="22"/>
        </w:rPr>
        <w:t>Tab</w:t>
      </w:r>
      <w:r>
        <w:rPr>
          <w:rFonts w:hint="default" w:hAnsi="Times New Roman" w:eastAsia="Frutiger-Light" w:cs="Times New Roman" w:asciiTheme="minorAscii"/>
          <w:bCs/>
          <w:sz w:val="22"/>
          <w:szCs w:val="22"/>
          <w:lang w:val="en-US"/>
        </w:rPr>
        <w:t xml:space="preserve">le 3.3 </w:t>
      </w:r>
      <w:r>
        <w:rPr>
          <w:rFonts w:hAnsi="Times New Roman"/>
          <w:bCs/>
          <w:color w:val="auto"/>
        </w:rPr>
        <w:t>Estimation of Sharia Banking Financing Supply Function</w:t>
      </w:r>
    </w:p>
    <w:tbl>
      <w:tblPr>
        <w:tblStyle w:val="9"/>
        <w:tblW w:w="9373"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510"/>
        <w:gridCol w:w="1483"/>
        <w:gridCol w:w="183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autoSpaceDE w:val="0"/>
              <w:autoSpaceDN w:val="0"/>
              <w:adjustRightInd w:val="0"/>
              <w:spacing w:after="0" w:line="240" w:lineRule="auto"/>
              <w:rPr>
                <w:rFonts w:hAnsi="Times New Roman" w:eastAsia="Frutiger-Light"/>
                <w:color w:val="auto"/>
              </w:rPr>
            </w:pPr>
            <w:r>
              <w:rPr>
                <w:rFonts w:hAnsi="Times New Roman"/>
                <w:b/>
                <w:bCs/>
                <w:color w:val="auto"/>
              </w:rPr>
              <w:t>Variable</w:t>
            </w:r>
          </w:p>
        </w:tc>
        <w:tc>
          <w:tcPr>
            <w:tcW w:w="1510" w:type="dxa"/>
            <w:vAlign w:val="top"/>
          </w:tcPr>
          <w:p>
            <w:pPr>
              <w:autoSpaceDE w:val="0"/>
              <w:autoSpaceDN w:val="0"/>
              <w:adjustRightInd w:val="0"/>
              <w:spacing w:after="0" w:line="240" w:lineRule="auto"/>
              <w:rPr>
                <w:rFonts w:hAnsi="Times New Roman" w:eastAsia="Frutiger-Light"/>
                <w:color w:val="auto"/>
              </w:rPr>
            </w:pPr>
            <w:r>
              <w:rPr>
                <w:rFonts w:hAnsi="Times New Roman"/>
                <w:b/>
                <w:bCs/>
                <w:color w:val="auto"/>
              </w:rPr>
              <w:t>Coefficient</w:t>
            </w:r>
          </w:p>
        </w:tc>
        <w:tc>
          <w:tcPr>
            <w:tcW w:w="1483" w:type="dxa"/>
            <w:vAlign w:val="top"/>
          </w:tcPr>
          <w:p>
            <w:pPr>
              <w:autoSpaceDE w:val="0"/>
              <w:autoSpaceDN w:val="0"/>
              <w:adjustRightInd w:val="0"/>
              <w:spacing w:after="0" w:line="240" w:lineRule="auto"/>
              <w:rPr>
                <w:rFonts w:hAnsi="Times New Roman" w:eastAsia="Frutiger-Light"/>
                <w:color w:val="auto"/>
              </w:rPr>
            </w:pPr>
            <w:r>
              <w:rPr>
                <w:rFonts w:hAnsi="Times New Roman"/>
                <w:b/>
                <w:bCs/>
                <w:color w:val="auto"/>
              </w:rPr>
              <w:t>t Statistics</w:t>
            </w:r>
          </w:p>
        </w:tc>
        <w:tc>
          <w:tcPr>
            <w:tcW w:w="1834" w:type="dxa"/>
            <w:vAlign w:val="top"/>
          </w:tcPr>
          <w:p>
            <w:pPr>
              <w:autoSpaceDE w:val="0"/>
              <w:autoSpaceDN w:val="0"/>
              <w:adjustRightInd w:val="0"/>
              <w:spacing w:after="0" w:line="240" w:lineRule="auto"/>
              <w:rPr>
                <w:rFonts w:hAnsi="Times New Roman"/>
                <w:b/>
                <w:bCs/>
                <w:color w:val="auto"/>
              </w:rPr>
            </w:pPr>
            <w:r>
              <w:rPr>
                <w:rFonts w:hAnsi="Times New Roman"/>
                <w:b/>
                <w:bCs/>
                <w:color w:val="auto"/>
              </w:rPr>
              <w:t>Probability</w:t>
            </w:r>
          </w:p>
        </w:tc>
        <w:tc>
          <w:tcPr>
            <w:tcW w:w="2516" w:type="dxa"/>
            <w:vAlign w:val="top"/>
          </w:tcPr>
          <w:p>
            <w:pPr>
              <w:autoSpaceDE w:val="0"/>
              <w:autoSpaceDN w:val="0"/>
              <w:adjustRightInd w:val="0"/>
              <w:spacing w:after="0" w:line="240" w:lineRule="auto"/>
              <w:contextualSpacing/>
              <w:rPr>
                <w:rFonts w:hAnsi="Times New Roman" w:eastAsia="Frutiger-Light"/>
                <w:color w:val="auto"/>
              </w:rPr>
            </w:pPr>
            <w:r>
              <w:rPr>
                <w:rFonts w:hAnsi="Times New Roman"/>
                <w:b/>
                <w:bCs/>
                <w:color w:val="auto"/>
              </w:rPr>
              <w:t>Coefficient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pStyle w:val="22"/>
              <w:spacing w:line="240" w:lineRule="auto"/>
              <w:contextualSpacing/>
              <w:jc w:val="both"/>
              <w:rPr>
                <w:rFonts w:ascii="Calibri" w:eastAsia="Frutiger-Light"/>
                <w:b/>
                <w:color w:val="auto"/>
                <w:sz w:val="22"/>
                <w:szCs w:val="22"/>
              </w:rPr>
            </w:pPr>
          </w:p>
        </w:tc>
        <w:tc>
          <w:tcPr>
            <w:tcW w:w="7343" w:type="dxa"/>
            <w:gridSpan w:val="4"/>
            <w:vAlign w:val="top"/>
          </w:tcPr>
          <w:p>
            <w:pPr>
              <w:pStyle w:val="22"/>
              <w:spacing w:line="240" w:lineRule="auto"/>
              <w:contextualSpacing/>
              <w:jc w:val="both"/>
              <w:rPr>
                <w:rFonts w:ascii="Calibri"/>
                <w:b/>
                <w:bCs/>
                <w:color w:val="auto"/>
                <w:sz w:val="22"/>
                <w:szCs w:val="22"/>
              </w:rPr>
            </w:pPr>
            <w:r>
              <w:rPr>
                <w:rFonts w:ascii="Calibri" w:eastAsia="Frutiger-Light"/>
                <w:b/>
                <w:color w:val="auto"/>
                <w:sz w:val="22"/>
                <w:szCs w:val="22"/>
              </w:rPr>
              <w:t>Financing Supply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pStyle w:val="22"/>
              <w:spacing w:line="240" w:lineRule="auto"/>
              <w:contextualSpacing/>
              <w:jc w:val="both"/>
              <w:rPr>
                <w:rFonts w:ascii="Calibri" w:eastAsia="Frutiger-Light"/>
                <w:b/>
                <w:color w:val="auto"/>
                <w:sz w:val="22"/>
                <w:szCs w:val="22"/>
              </w:rPr>
            </w:pPr>
          </w:p>
        </w:tc>
        <w:tc>
          <w:tcPr>
            <w:tcW w:w="7343" w:type="dxa"/>
            <w:gridSpan w:val="4"/>
            <w:vAlign w:val="top"/>
          </w:tcPr>
          <w:p>
            <w:pPr>
              <w:pStyle w:val="22"/>
              <w:spacing w:line="240" w:lineRule="auto"/>
              <w:contextualSpacing/>
              <w:jc w:val="both"/>
              <w:rPr>
                <w:rFonts w:ascii="Calibri" w:eastAsia="Frutiger-Light"/>
                <w:b/>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autoSpaceDE w:val="0"/>
              <w:autoSpaceDN w:val="0"/>
              <w:adjustRightInd w:val="0"/>
              <w:spacing w:after="0" w:line="240" w:lineRule="auto"/>
              <w:rPr>
                <w:rFonts w:hAnsi="Times New Roman"/>
                <w:color w:val="auto"/>
              </w:rPr>
            </w:pPr>
            <w:r>
              <w:rPr>
                <w:rFonts w:hAnsi="Times New Roman" w:eastAsia="Frutiger-Light"/>
                <w:color w:val="auto"/>
              </w:rPr>
              <w:t>Constant</w:t>
            </w:r>
          </w:p>
        </w:tc>
        <w:tc>
          <w:tcPr>
            <w:tcW w:w="1510" w:type="dxa"/>
            <w:vAlign w:val="top"/>
          </w:tcPr>
          <w:p>
            <w:pPr>
              <w:autoSpaceDE w:val="0"/>
              <w:autoSpaceDN w:val="0"/>
              <w:adjustRightInd w:val="0"/>
              <w:spacing w:after="0" w:line="240" w:lineRule="auto"/>
              <w:rPr>
                <w:rFonts w:hAnsi="Times New Roman" w:eastAsia="Frutiger-Light"/>
                <w:color w:val="auto"/>
              </w:rPr>
            </w:pPr>
            <w:r>
              <w:rPr>
                <w:rFonts w:hAnsi="Times New Roman" w:eastAsia="Frutiger-Light"/>
                <w:color w:val="auto"/>
              </w:rPr>
              <w:t>10.42274</w:t>
            </w:r>
          </w:p>
        </w:tc>
        <w:tc>
          <w:tcPr>
            <w:tcW w:w="1483" w:type="dxa"/>
            <w:vAlign w:val="top"/>
          </w:tcPr>
          <w:p>
            <w:pPr>
              <w:autoSpaceDE w:val="0"/>
              <w:autoSpaceDN w:val="0"/>
              <w:adjustRightInd w:val="0"/>
              <w:spacing w:after="0" w:line="240" w:lineRule="auto"/>
              <w:rPr>
                <w:rFonts w:hAnsi="Times New Roman" w:eastAsia="Frutiger-Light"/>
                <w:color w:val="auto"/>
              </w:rPr>
            </w:pPr>
            <w:r>
              <w:rPr>
                <w:rFonts w:hAnsi="Times New Roman" w:eastAsia="Frutiger-Light"/>
                <w:color w:val="auto"/>
              </w:rPr>
              <w:t>24.43504</w:t>
            </w:r>
          </w:p>
        </w:tc>
        <w:tc>
          <w:tcPr>
            <w:tcW w:w="1834" w:type="dxa"/>
            <w:vAlign w:val="top"/>
          </w:tcPr>
          <w:p>
            <w:pPr>
              <w:autoSpaceDE w:val="0"/>
              <w:autoSpaceDN w:val="0"/>
              <w:adjustRightInd w:val="0"/>
              <w:spacing w:after="0" w:line="240" w:lineRule="auto"/>
              <w:ind w:right="10"/>
              <w:rPr>
                <w:rFonts w:hAnsi="Times New Roman"/>
                <w:color w:val="auto"/>
              </w:rPr>
            </w:pPr>
            <w:r>
              <w:rPr>
                <w:rFonts w:hAnsi="Times New Roman"/>
                <w:color w:val="auto"/>
              </w:rPr>
              <w:t>0.0000</w:t>
            </w:r>
          </w:p>
        </w:tc>
        <w:tc>
          <w:tcPr>
            <w:tcW w:w="2516" w:type="dxa"/>
            <w:vAlign w:val="center"/>
          </w:tcPr>
          <w:p>
            <w:pPr>
              <w:autoSpaceDE w:val="0"/>
              <w:autoSpaceDN w:val="0"/>
              <w:adjustRightInd w:val="0"/>
              <w:spacing w:after="0" w:line="240" w:lineRule="auto"/>
              <w:jc w:val="center"/>
              <w:rPr>
                <w:rFonts w:hAnsi="Times New Roman" w:eastAsia="Frutiger-Light"/>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autoSpaceDE w:val="0"/>
              <w:autoSpaceDN w:val="0"/>
              <w:adjustRightInd w:val="0"/>
              <w:spacing w:after="0" w:line="240" w:lineRule="auto"/>
              <w:rPr>
                <w:rFonts w:hAnsi="Times New Roman" w:eastAsia="Frutiger-Light"/>
                <w:color w:val="auto"/>
              </w:rPr>
            </w:pPr>
            <w:r>
              <w:rPr>
                <w:rFonts w:hAnsi="Times New Roman"/>
                <w:color w:val="auto"/>
              </w:rPr>
              <w:t>PROFIT_SHARING/ TBH</w:t>
            </w:r>
          </w:p>
        </w:tc>
        <w:tc>
          <w:tcPr>
            <w:tcW w:w="1510" w:type="dxa"/>
            <w:vAlign w:val="top"/>
          </w:tcPr>
          <w:p>
            <w:pPr>
              <w:autoSpaceDE w:val="0"/>
              <w:autoSpaceDN w:val="0"/>
              <w:adjustRightInd w:val="0"/>
              <w:spacing w:after="0" w:line="240" w:lineRule="auto"/>
              <w:rPr>
                <w:rFonts w:hAnsi="Times New Roman" w:eastAsia="Frutiger-Light"/>
                <w:color w:val="auto"/>
              </w:rPr>
            </w:pPr>
            <w:r>
              <w:rPr>
                <w:rFonts w:hAnsi="Times New Roman" w:eastAsia="Frutiger-Light"/>
                <w:color w:val="auto"/>
              </w:rPr>
              <w:t>0.030549</w:t>
            </w:r>
          </w:p>
        </w:tc>
        <w:tc>
          <w:tcPr>
            <w:tcW w:w="1483" w:type="dxa"/>
            <w:vAlign w:val="top"/>
          </w:tcPr>
          <w:p>
            <w:pPr>
              <w:autoSpaceDE w:val="0"/>
              <w:autoSpaceDN w:val="0"/>
              <w:adjustRightInd w:val="0"/>
              <w:spacing w:after="0" w:line="240" w:lineRule="auto"/>
              <w:ind w:right="10"/>
              <w:rPr>
                <w:rFonts w:hAnsi="Times New Roman"/>
                <w:color w:val="auto"/>
              </w:rPr>
            </w:pPr>
            <w:r>
              <w:rPr>
                <w:rFonts w:hAnsi="Times New Roman"/>
                <w:color w:val="auto"/>
              </w:rPr>
              <w:t>1.134269</w:t>
            </w:r>
          </w:p>
        </w:tc>
        <w:tc>
          <w:tcPr>
            <w:tcW w:w="1834" w:type="dxa"/>
            <w:vAlign w:val="top"/>
          </w:tcPr>
          <w:p>
            <w:pPr>
              <w:autoSpaceDE w:val="0"/>
              <w:autoSpaceDN w:val="0"/>
              <w:adjustRightInd w:val="0"/>
              <w:spacing w:after="0" w:line="240" w:lineRule="auto"/>
              <w:ind w:right="10"/>
              <w:rPr>
                <w:rFonts w:hAnsi="Times New Roman"/>
                <w:color w:val="auto"/>
              </w:rPr>
            </w:pPr>
            <w:r>
              <w:rPr>
                <w:rFonts w:hAnsi="Times New Roman"/>
                <w:color w:val="auto"/>
              </w:rPr>
              <w:t>0.2576</w:t>
            </w:r>
          </w:p>
        </w:tc>
        <w:tc>
          <w:tcPr>
            <w:tcW w:w="2516"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autoSpaceDE w:val="0"/>
              <w:autoSpaceDN w:val="0"/>
              <w:adjustRightInd w:val="0"/>
              <w:spacing w:after="0" w:line="240" w:lineRule="auto"/>
              <w:rPr>
                <w:rFonts w:hAnsi="Times New Roman" w:eastAsia="Frutiger-Light"/>
                <w:color w:val="auto"/>
              </w:rPr>
            </w:pPr>
            <w:r>
              <w:rPr>
                <w:rFonts w:hAnsi="Times New Roman"/>
                <w:color w:val="auto"/>
              </w:rPr>
              <w:t>DPK</w:t>
            </w:r>
          </w:p>
        </w:tc>
        <w:tc>
          <w:tcPr>
            <w:tcW w:w="1510" w:type="dxa"/>
            <w:vAlign w:val="top"/>
          </w:tcPr>
          <w:p>
            <w:pPr>
              <w:autoSpaceDE w:val="0"/>
              <w:autoSpaceDN w:val="0"/>
              <w:adjustRightInd w:val="0"/>
              <w:spacing w:after="0" w:line="240" w:lineRule="auto"/>
              <w:rPr>
                <w:rFonts w:hAnsi="Times New Roman" w:eastAsia="Frutiger-Light"/>
                <w:color w:val="auto"/>
              </w:rPr>
            </w:pPr>
            <w:r>
              <w:rPr>
                <w:rFonts w:hAnsi="Times New Roman"/>
                <w:color w:val="auto"/>
              </w:rPr>
              <w:t>-0.141480</w:t>
            </w:r>
          </w:p>
        </w:tc>
        <w:tc>
          <w:tcPr>
            <w:tcW w:w="1483" w:type="dxa"/>
            <w:vAlign w:val="top"/>
          </w:tcPr>
          <w:p>
            <w:pPr>
              <w:autoSpaceDE w:val="0"/>
              <w:autoSpaceDN w:val="0"/>
              <w:adjustRightInd w:val="0"/>
              <w:spacing w:after="0" w:line="240" w:lineRule="auto"/>
              <w:ind w:right="10"/>
              <w:rPr>
                <w:rFonts w:hAnsi="Times New Roman"/>
                <w:color w:val="auto"/>
              </w:rPr>
            </w:pPr>
            <w:r>
              <w:rPr>
                <w:rFonts w:hAnsi="Times New Roman"/>
                <w:color w:val="auto"/>
              </w:rPr>
              <w:t>-6.757953*</w:t>
            </w:r>
          </w:p>
        </w:tc>
        <w:tc>
          <w:tcPr>
            <w:tcW w:w="1834" w:type="dxa"/>
            <w:vAlign w:val="top"/>
          </w:tcPr>
          <w:p>
            <w:pPr>
              <w:autoSpaceDE w:val="0"/>
              <w:autoSpaceDN w:val="0"/>
              <w:adjustRightInd w:val="0"/>
              <w:spacing w:after="0" w:line="240" w:lineRule="auto"/>
              <w:ind w:right="10"/>
              <w:rPr>
                <w:rFonts w:hAnsi="Times New Roman"/>
                <w:color w:val="auto"/>
              </w:rPr>
            </w:pPr>
            <w:r>
              <w:rPr>
                <w:rFonts w:hAnsi="Times New Roman"/>
                <w:color w:val="auto"/>
              </w:rPr>
              <w:t>0.0000</w:t>
            </w:r>
          </w:p>
        </w:tc>
        <w:tc>
          <w:tcPr>
            <w:tcW w:w="2516"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autoSpaceDE w:val="0"/>
              <w:autoSpaceDN w:val="0"/>
              <w:adjustRightInd w:val="0"/>
              <w:spacing w:after="0" w:line="240" w:lineRule="auto"/>
              <w:rPr>
                <w:rFonts w:hAnsi="Times New Roman"/>
                <w:color w:val="auto"/>
              </w:rPr>
            </w:pPr>
            <w:r>
              <w:rPr>
                <w:rFonts w:hAnsi="Times New Roman"/>
                <w:color w:val="auto"/>
              </w:rPr>
              <w:t>NPF</w:t>
            </w:r>
          </w:p>
        </w:tc>
        <w:tc>
          <w:tcPr>
            <w:tcW w:w="1510" w:type="dxa"/>
            <w:vAlign w:val="top"/>
          </w:tcPr>
          <w:p>
            <w:pPr>
              <w:autoSpaceDE w:val="0"/>
              <w:autoSpaceDN w:val="0"/>
              <w:adjustRightInd w:val="0"/>
              <w:spacing w:after="0" w:line="240" w:lineRule="auto"/>
              <w:rPr>
                <w:rFonts w:hAnsi="Times New Roman" w:eastAsia="Frutiger-Light"/>
                <w:color w:val="auto"/>
              </w:rPr>
            </w:pPr>
            <w:r>
              <w:rPr>
                <w:rFonts w:hAnsi="Times New Roman" w:eastAsia="Frutiger-Light"/>
                <w:color w:val="auto"/>
              </w:rPr>
              <w:t>0.120885</w:t>
            </w:r>
          </w:p>
        </w:tc>
        <w:tc>
          <w:tcPr>
            <w:tcW w:w="1483" w:type="dxa"/>
            <w:vAlign w:val="top"/>
          </w:tcPr>
          <w:p>
            <w:pPr>
              <w:autoSpaceDE w:val="0"/>
              <w:autoSpaceDN w:val="0"/>
              <w:adjustRightInd w:val="0"/>
              <w:spacing w:after="0" w:line="240" w:lineRule="auto"/>
              <w:ind w:right="10"/>
              <w:rPr>
                <w:rFonts w:hAnsi="Times New Roman"/>
                <w:color w:val="auto"/>
              </w:rPr>
            </w:pPr>
            <w:r>
              <w:rPr>
                <w:rFonts w:hAnsi="Times New Roman"/>
                <w:color w:val="auto"/>
              </w:rPr>
              <w:t>2.566946</w:t>
            </w:r>
          </w:p>
        </w:tc>
        <w:tc>
          <w:tcPr>
            <w:tcW w:w="1834" w:type="dxa"/>
            <w:vAlign w:val="top"/>
          </w:tcPr>
          <w:p>
            <w:pPr>
              <w:autoSpaceDE w:val="0"/>
              <w:autoSpaceDN w:val="0"/>
              <w:adjustRightInd w:val="0"/>
              <w:spacing w:after="0" w:line="240" w:lineRule="auto"/>
              <w:ind w:right="10"/>
              <w:rPr>
                <w:rFonts w:hAnsi="Times New Roman"/>
                <w:color w:val="auto"/>
              </w:rPr>
            </w:pPr>
            <w:r>
              <w:rPr>
                <w:rFonts w:hAnsi="Times New Roman"/>
                <w:color w:val="auto"/>
              </w:rPr>
              <w:t>0.0108*</w:t>
            </w:r>
          </w:p>
        </w:tc>
        <w:tc>
          <w:tcPr>
            <w:tcW w:w="2516"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top"/>
          </w:tcPr>
          <w:p>
            <w:pPr>
              <w:autoSpaceDE w:val="0"/>
              <w:autoSpaceDN w:val="0"/>
              <w:adjustRightInd w:val="0"/>
              <w:spacing w:after="0" w:line="240" w:lineRule="auto"/>
              <w:rPr>
                <w:rFonts w:hAnsi="Times New Roman"/>
                <w:color w:val="auto"/>
              </w:rPr>
            </w:pPr>
            <w:r>
              <w:rPr>
                <w:rFonts w:hAnsi="Times New Roman"/>
                <w:color w:val="auto"/>
              </w:rPr>
              <w:t>SWBI</w:t>
            </w:r>
          </w:p>
        </w:tc>
        <w:tc>
          <w:tcPr>
            <w:tcW w:w="1510" w:type="dxa"/>
            <w:vAlign w:val="top"/>
          </w:tcPr>
          <w:p>
            <w:pPr>
              <w:autoSpaceDE w:val="0"/>
              <w:autoSpaceDN w:val="0"/>
              <w:adjustRightInd w:val="0"/>
              <w:spacing w:after="0" w:line="240" w:lineRule="auto"/>
              <w:rPr>
                <w:rFonts w:hAnsi="Times New Roman" w:eastAsia="Frutiger-Light"/>
                <w:color w:val="auto"/>
              </w:rPr>
            </w:pPr>
            <w:r>
              <w:rPr>
                <w:rFonts w:hAnsi="Times New Roman"/>
                <w:color w:val="auto"/>
              </w:rPr>
              <w:t>-0.000615</w:t>
            </w:r>
          </w:p>
        </w:tc>
        <w:tc>
          <w:tcPr>
            <w:tcW w:w="1483" w:type="dxa"/>
            <w:vAlign w:val="top"/>
          </w:tcPr>
          <w:p>
            <w:pPr>
              <w:autoSpaceDE w:val="0"/>
              <w:autoSpaceDN w:val="0"/>
              <w:adjustRightInd w:val="0"/>
              <w:spacing w:after="0" w:line="240" w:lineRule="auto"/>
              <w:ind w:right="10"/>
              <w:rPr>
                <w:rFonts w:hAnsi="Times New Roman"/>
                <w:color w:val="auto"/>
              </w:rPr>
            </w:pPr>
            <w:r>
              <w:rPr>
                <w:rFonts w:hAnsi="Times New Roman"/>
                <w:color w:val="auto"/>
              </w:rPr>
              <w:t>11. 85828</w:t>
            </w:r>
          </w:p>
        </w:tc>
        <w:tc>
          <w:tcPr>
            <w:tcW w:w="1834" w:type="dxa"/>
            <w:vAlign w:val="top"/>
          </w:tcPr>
          <w:p>
            <w:pPr>
              <w:autoSpaceDE w:val="0"/>
              <w:autoSpaceDN w:val="0"/>
              <w:adjustRightInd w:val="0"/>
              <w:spacing w:after="0" w:line="240" w:lineRule="auto"/>
              <w:ind w:right="10"/>
              <w:rPr>
                <w:rFonts w:hAnsi="Times New Roman"/>
                <w:color w:val="auto"/>
              </w:rPr>
            </w:pPr>
            <w:r>
              <w:rPr>
                <w:rFonts w:hAnsi="Times New Roman"/>
                <w:color w:val="auto"/>
              </w:rPr>
              <w:t>0.0000*</w:t>
            </w:r>
          </w:p>
        </w:tc>
        <w:tc>
          <w:tcPr>
            <w:tcW w:w="2516" w:type="dxa"/>
            <w:vAlign w:val="center"/>
          </w:tcPr>
          <w:p>
            <w:pPr>
              <w:autoSpaceDE w:val="0"/>
              <w:autoSpaceDN w:val="0"/>
              <w:adjustRightInd w:val="0"/>
              <w:spacing w:after="0" w:line="240" w:lineRule="auto"/>
              <w:jc w:val="center"/>
              <w:rPr>
                <w:rFonts w:hAnsi="Times New Roman" w:eastAsia="Frutiger-Light"/>
                <w:color w:val="auto"/>
              </w:rPr>
            </w:pPr>
            <w:r>
              <w:rPr>
                <w:rFonts w:hAnsi="Times New Roman" w:eastAsia="Frutiger-Light"/>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23" w:type="dxa"/>
            <w:gridSpan w:val="3"/>
            <w:vAlign w:val="top"/>
          </w:tcPr>
          <w:p>
            <w:pPr>
              <w:autoSpaceDE w:val="0"/>
              <w:autoSpaceDN w:val="0"/>
              <w:adjustRightInd w:val="0"/>
              <w:spacing w:after="0" w:line="240" w:lineRule="auto"/>
              <w:rPr>
                <w:rFonts w:hAnsi="Times New Roman"/>
                <w:color w:val="auto"/>
              </w:rPr>
            </w:pPr>
            <w:r>
              <w:rPr>
                <w:rFonts w:hAnsi="Times New Roman"/>
                <w:color w:val="auto"/>
              </w:rPr>
              <w:t>R-squared   0.796993</w:t>
            </w:r>
          </w:p>
          <w:p>
            <w:pPr>
              <w:autoSpaceDE w:val="0"/>
              <w:autoSpaceDN w:val="0"/>
              <w:adjustRightInd w:val="0"/>
              <w:spacing w:after="0" w:line="240" w:lineRule="auto"/>
              <w:ind w:right="10"/>
              <w:rPr>
                <w:rFonts w:hAnsi="Times New Roman"/>
                <w:color w:val="auto"/>
              </w:rPr>
            </w:pPr>
            <w:r>
              <w:rPr>
                <w:rFonts w:hAnsi="Times New Roman"/>
                <w:color w:val="auto"/>
              </w:rPr>
              <w:t>F-statistic    142. 3152</w:t>
            </w:r>
          </w:p>
          <w:p>
            <w:pPr>
              <w:autoSpaceDE w:val="0"/>
              <w:autoSpaceDN w:val="0"/>
              <w:adjustRightInd w:val="0"/>
              <w:spacing w:after="0" w:line="240" w:lineRule="auto"/>
              <w:ind w:right="10"/>
              <w:rPr>
                <w:rFonts w:hAnsi="Times New Roman"/>
                <w:color w:val="auto"/>
              </w:rPr>
            </w:pPr>
          </w:p>
        </w:tc>
        <w:tc>
          <w:tcPr>
            <w:tcW w:w="4350" w:type="dxa"/>
            <w:gridSpan w:val="2"/>
            <w:vAlign w:val="top"/>
          </w:tcPr>
          <w:p>
            <w:pPr>
              <w:autoSpaceDE w:val="0"/>
              <w:autoSpaceDN w:val="0"/>
              <w:adjustRightInd w:val="0"/>
              <w:spacing w:after="0" w:line="240" w:lineRule="auto"/>
              <w:jc w:val="center"/>
              <w:rPr>
                <w:rFonts w:hAnsi="Times New Roman" w:eastAsia="Frutiger-Light"/>
                <w:color w:val="auto"/>
              </w:rPr>
            </w:pPr>
            <w:r>
              <w:rPr>
                <w:rFonts w:hAnsi="Times New Roman"/>
                <w:color w:val="auto"/>
              </w:rPr>
              <w:t>Durbin-Watson stat 0.246916</w:t>
            </w:r>
          </w:p>
        </w:tc>
      </w:tr>
    </w:tbl>
    <w:p>
      <w:pPr>
        <w:autoSpaceDE w:val="0"/>
        <w:autoSpaceDN w:val="0"/>
        <w:adjustRightInd w:val="0"/>
        <w:spacing w:after="0" w:line="240" w:lineRule="auto"/>
        <w:rPr>
          <w:rFonts w:hAnsi="Times New Roman" w:eastAsia="Frutiger-Light"/>
          <w:color w:val="auto"/>
        </w:rPr>
      </w:pPr>
      <w:r>
        <w:rPr>
          <w:rFonts w:hAnsi="Times New Roman" w:eastAsia="Frutiger-Light"/>
          <w:color w:val="auto"/>
        </w:rPr>
        <w:t xml:space="preserve">Note: * Significant at α = 0.05;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Based on the estimation results in Table 3.3, the R-Square value is 79.6993 percent, which is used to test the goodness-of-fit</w:t>
      </w:r>
      <w:r>
        <w:rPr>
          <w:rFonts w:hAnsi="Times New Roman"/>
          <w:i/>
          <w:iCs/>
          <w:color w:val="auto"/>
        </w:rPr>
        <w:t xml:space="preserve"> </w:t>
      </w:r>
      <w:r>
        <w:rPr>
          <w:rFonts w:hAnsi="Times New Roman"/>
          <w:color w:val="auto"/>
        </w:rPr>
        <w:t xml:space="preserve">of regression model and means that 79.7 percent of </w:t>
      </w:r>
      <w:r>
        <w:rPr>
          <w:rFonts w:hAnsi="Times New Roman"/>
          <w:bCs/>
          <w:color w:val="auto"/>
        </w:rPr>
        <w:t xml:space="preserve">sharia banking financing supply can be explained with </w:t>
      </w:r>
      <w:r>
        <w:rPr>
          <w:rFonts w:hAnsi="Times New Roman"/>
          <w:color w:val="auto"/>
        </w:rPr>
        <w:t xml:space="preserve">independent variables, while the remaining 20.3 percent is explained with other reasons.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Simultaneous tests with F-</w:t>
      </w:r>
      <w:r>
        <w:rPr>
          <w:rFonts w:hAnsi="Times New Roman"/>
          <w:color w:val="auto"/>
          <w:lang w:val="en-US"/>
        </w:rPr>
        <w:t>statistical</w:t>
      </w:r>
      <w:r>
        <w:rPr>
          <w:rFonts w:hAnsi="Times New Roman"/>
          <w:color w:val="auto"/>
        </w:rPr>
        <w:t xml:space="preserve"> test. This test aims at examining whether all independent variables simultaneously, significantly influence dependent variables as viewed from the probability value of Fcount using significance level of α = 0.05. The F-count results show that the equation has F count probability higher than the α value, thus we may conclude that all independent variables do insignificantly, simultaneously influence dependent variables with trust degree close to 95 percent.</w:t>
      </w:r>
    </w:p>
    <w:p>
      <w:pPr>
        <w:keepNext w:val="0"/>
        <w:keepLines w:val="0"/>
        <w:pageBreakBefore w:val="0"/>
        <w:widowControl/>
        <w:kinsoku/>
        <w:wordWrap/>
        <w:overflowPunct/>
        <w:topLinePunct w:val="0"/>
        <w:autoSpaceDE w:val="0"/>
        <w:autoSpaceDN w:val="0"/>
        <w:bidi w:val="0"/>
        <w:adjustRightInd w:val="0"/>
        <w:snapToGrid/>
        <w:spacing w:after="0" w:line="240" w:lineRule="auto"/>
        <w:ind w:left="13" w:leftChars="6" w:right="0" w:rightChars="0" w:firstLine="385" w:firstLineChars="0"/>
        <w:jc w:val="both"/>
        <w:textAlignment w:val="auto"/>
        <w:outlineLvl w:val="9"/>
        <w:rPr>
          <w:rFonts w:hAnsi="Times New Roman"/>
          <w:color w:val="auto"/>
        </w:rPr>
      </w:pPr>
      <w:r>
        <w:rPr>
          <w:rFonts w:hAnsi="Times New Roman"/>
          <w:color w:val="auto"/>
        </w:rPr>
        <w:t xml:space="preserve">Furthermore, t-test is used to observe whether or not the relationship between independent variables and dependent variables is individually significant according to its probability at significance level of α= 0.05.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According to the t-test results, we may conclude that each independent variable (NPF, TBH, SWBI) does insignificantly, individually influences sharia banking financing supply in Indonesia, however, DPK independent variable significantly, individually influences sharia banking financing supply in Indonesia.</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The analysis results show that sharia bank profit sharing rate positively and significantly influences such banking financing supply. The regression coefficient is 0.030549, which means that if the profit sharing rate increases for 10%, the sharia banking financing supply increases for 0.3%. The influence of profit sharing rate on sharia banking financing supply is very elastic.</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 xml:space="preserve">The analysis results also show that DPK (Third Party Fund) negatively and significantly influences sharia banking financing supply. The regression coefficient is -0.141480, which means that if DPK increases for 1%, the sharia banking financing supply decreases for 0.14%.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NPF</w:t>
      </w:r>
      <w:r>
        <w:rPr>
          <w:rFonts w:hAnsi="Times New Roman"/>
          <w:bCs/>
          <w:color w:val="auto"/>
        </w:rPr>
        <w:t xml:space="preserve"> (Non-Performing Financing) positively and insignificantly influences</w:t>
      </w:r>
      <w:r>
        <w:rPr>
          <w:rFonts w:hAnsi="Times New Roman"/>
          <w:color w:val="auto"/>
        </w:rPr>
        <w:t xml:space="preserve"> sharia banking financing supply. The regression coefficient is 0.120885, which means that if NPF increases for 10%, the sharia banking financing supply increases for 12.08%. The influence of NPF on sharia banking financing supply is fairly elastic.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SWBI</w:t>
      </w:r>
      <w:r>
        <w:rPr>
          <w:rFonts w:hAnsi="Times New Roman"/>
          <w:bCs/>
          <w:color w:val="auto"/>
        </w:rPr>
        <w:t xml:space="preserve"> (Bank Indonesia Wadiah Certificate) positively and insignificantly influences</w:t>
      </w:r>
      <w:r>
        <w:rPr>
          <w:rFonts w:hAnsi="Times New Roman"/>
          <w:color w:val="auto"/>
        </w:rPr>
        <w:t xml:space="preserve"> sharia banking financing supply. The regression coefficient is 0.000615, which means that if SWBI increases for 10%, the sharia banking financing supply increases for 0.0615%. The influence of SWBI on sharia banking financing supply is very elastic. </w:t>
      </w:r>
    </w:p>
    <w:p>
      <w:pPr>
        <w:autoSpaceDE w:val="0"/>
        <w:autoSpaceDN w:val="0"/>
        <w:adjustRightInd w:val="0"/>
        <w:spacing w:after="0" w:line="240" w:lineRule="auto"/>
        <w:ind w:left="13" w:leftChars="6" w:firstLine="385"/>
        <w:jc w:val="both"/>
        <w:rPr>
          <w:rFonts w:hint="default" w:hAnsi="Times New Roman"/>
          <w:color w:val="auto"/>
        </w:rPr>
      </w:pPr>
    </w:p>
    <w:p>
      <w:pPr>
        <w:pStyle w:val="23"/>
        <w:autoSpaceDE w:val="0"/>
        <w:autoSpaceDN w:val="0"/>
        <w:adjustRightInd w:val="0"/>
        <w:spacing w:after="0" w:line="240" w:lineRule="auto"/>
        <w:ind w:left="0"/>
        <w:jc w:val="both"/>
        <w:rPr>
          <w:rFonts w:hint="default" w:hAnsi="Times New Roman" w:cs="Times New Roman" w:asciiTheme="minorAscii"/>
          <w:b/>
          <w:bCs/>
          <w:sz w:val="22"/>
          <w:szCs w:val="22"/>
        </w:rPr>
      </w:pPr>
      <w:r>
        <w:rPr>
          <w:rFonts w:hint="default" w:hAnsi="Times New Roman" w:cs="Times New Roman" w:asciiTheme="minorAscii"/>
          <w:b/>
          <w:bCs/>
          <w:sz w:val="22"/>
          <w:szCs w:val="22"/>
          <w:lang w:val="en-US"/>
        </w:rPr>
        <w:t xml:space="preserve">3.4 </w:t>
      </w:r>
      <w:r>
        <w:rPr>
          <w:rFonts w:hAnsi="Times New Roman"/>
          <w:b/>
          <w:bCs/>
          <w:color w:val="auto"/>
        </w:rPr>
        <w:t xml:space="preserve">Regression Analysis on Financing Demand </w:t>
      </w:r>
    </w:p>
    <w:p>
      <w:pPr>
        <w:autoSpaceDE w:val="0"/>
        <w:autoSpaceDN w:val="0"/>
        <w:adjustRightInd w:val="0"/>
        <w:spacing w:after="0" w:line="240" w:lineRule="auto"/>
        <w:ind w:left="13" w:leftChars="6" w:firstLine="385"/>
        <w:jc w:val="both"/>
        <w:rPr>
          <w:rFonts w:hAnsi="Times New Roman" w:eastAsia="Frutiger-Light"/>
          <w:color w:val="auto"/>
        </w:rPr>
      </w:pPr>
      <w:r>
        <w:rPr>
          <w:rFonts w:hAnsi="Times New Roman" w:eastAsia="Frutiger-Light"/>
          <w:color w:val="auto"/>
        </w:rPr>
        <w:t>The results of TSLS estimation on sharia financing demand equation in the sample period of January 2003-Juli 2015 (150 observations) are briefly presented in Table 3.4</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 xml:space="preserve">The estimation results </w:t>
      </w:r>
      <w:r>
        <w:rPr>
          <w:rFonts w:hAnsi="Times New Roman" w:eastAsia="Frutiger-Light"/>
          <w:color w:val="auto"/>
        </w:rPr>
        <w:t xml:space="preserve">show that the factors equation model which influences </w:t>
      </w:r>
      <w:r>
        <w:rPr>
          <w:rFonts w:hAnsi="Times New Roman"/>
          <w:color w:val="auto"/>
        </w:rPr>
        <w:t>sharia banking financing demand has determination coefficient (R</w:t>
      </w:r>
      <w:r>
        <w:rPr>
          <w:rFonts w:hAnsi="Times New Roman"/>
          <w:color w:val="auto"/>
          <w:vertAlign w:val="superscript"/>
        </w:rPr>
        <w:t>2</w:t>
      </w:r>
      <w:r>
        <w:rPr>
          <w:rFonts w:hAnsi="Times New Roman"/>
          <w:color w:val="auto"/>
        </w:rPr>
        <w:t xml:space="preserve">) of 0.980608. This determination coefficient value may be interpreted that sharia banking financing demand may be explained by TBH, PDB, and SBI variables for 98.06%, while the remaining 1.94% is explained by other variables. </w:t>
      </w:r>
    </w:p>
    <w:p>
      <w:pPr>
        <w:autoSpaceDE w:val="0"/>
        <w:autoSpaceDN w:val="0"/>
        <w:adjustRightInd w:val="0"/>
        <w:spacing w:after="0" w:line="240" w:lineRule="auto"/>
        <w:ind w:left="13" w:leftChars="6" w:firstLine="385"/>
        <w:jc w:val="both"/>
        <w:rPr>
          <w:rFonts w:hint="default" w:hAnsi="Times New Roman"/>
          <w:color w:val="auto"/>
        </w:rPr>
      </w:pPr>
    </w:p>
    <w:p>
      <w:pPr>
        <w:autoSpaceDE w:val="0"/>
        <w:autoSpaceDN w:val="0"/>
        <w:adjustRightInd w:val="0"/>
        <w:spacing w:after="0" w:line="240" w:lineRule="auto"/>
        <w:ind w:left="13" w:leftChars="6" w:firstLine="385"/>
        <w:jc w:val="both"/>
        <w:rPr>
          <w:rFonts w:hAnsi="Times New Roman"/>
          <w:bCs/>
          <w:color w:val="auto"/>
        </w:rPr>
      </w:pPr>
      <w:r>
        <w:rPr>
          <w:rFonts w:hint="default" w:hAnsi="Times New Roman" w:eastAsia="Frutiger-Light" w:cs="Times New Roman" w:asciiTheme="minorAscii"/>
          <w:bCs/>
          <w:sz w:val="22"/>
          <w:szCs w:val="22"/>
        </w:rPr>
        <w:t>Tab</w:t>
      </w:r>
      <w:r>
        <w:rPr>
          <w:rFonts w:hint="default" w:hAnsi="Times New Roman" w:eastAsia="Frutiger-Light" w:cs="Times New Roman" w:asciiTheme="minorAscii"/>
          <w:bCs/>
          <w:sz w:val="22"/>
          <w:szCs w:val="22"/>
          <w:lang w:val="en-US"/>
        </w:rPr>
        <w:t xml:space="preserve">le 3.4 </w:t>
      </w:r>
      <w:r>
        <w:rPr>
          <w:rFonts w:hAnsi="Times New Roman"/>
          <w:bCs/>
          <w:color w:val="auto"/>
        </w:rPr>
        <w:t>Estimation of Sharia Banking Financing Demand Function</w:t>
      </w:r>
    </w:p>
    <w:tbl>
      <w:tblPr>
        <w:tblStyle w:val="9"/>
        <w:tblW w:w="95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485"/>
        <w:gridCol w:w="1700"/>
        <w:gridCol w:w="1767"/>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vAlign w:val="top"/>
          </w:tcPr>
          <w:p>
            <w:pPr>
              <w:autoSpaceDE w:val="0"/>
              <w:autoSpaceDN w:val="0"/>
              <w:adjustRightInd w:val="0"/>
              <w:spacing w:after="0" w:line="240" w:lineRule="auto"/>
              <w:rPr>
                <w:rFonts w:hAnsi="Times New Roman" w:eastAsia="Frutiger-Light"/>
                <w:color w:val="auto"/>
                <w:sz w:val="20"/>
                <w:szCs w:val="20"/>
              </w:rPr>
            </w:pPr>
            <w:r>
              <w:rPr>
                <w:rFonts w:hAnsi="Times New Roman"/>
                <w:b/>
                <w:bCs/>
                <w:color w:val="auto"/>
                <w:sz w:val="20"/>
                <w:szCs w:val="20"/>
              </w:rPr>
              <w:t>Variable</w:t>
            </w:r>
          </w:p>
        </w:tc>
        <w:tc>
          <w:tcPr>
            <w:tcW w:w="1485" w:type="dxa"/>
            <w:vAlign w:val="top"/>
          </w:tcPr>
          <w:p>
            <w:pPr>
              <w:autoSpaceDE w:val="0"/>
              <w:autoSpaceDN w:val="0"/>
              <w:adjustRightInd w:val="0"/>
              <w:spacing w:after="0" w:line="240" w:lineRule="auto"/>
              <w:rPr>
                <w:rFonts w:hAnsi="Times New Roman" w:eastAsia="Frutiger-Light"/>
                <w:color w:val="auto"/>
                <w:sz w:val="20"/>
                <w:szCs w:val="20"/>
              </w:rPr>
            </w:pPr>
            <w:r>
              <w:rPr>
                <w:rFonts w:hAnsi="Times New Roman"/>
                <w:b/>
                <w:bCs/>
                <w:color w:val="auto"/>
                <w:sz w:val="20"/>
                <w:szCs w:val="20"/>
              </w:rPr>
              <w:t>Coefficient</w:t>
            </w:r>
          </w:p>
        </w:tc>
        <w:tc>
          <w:tcPr>
            <w:tcW w:w="1700" w:type="dxa"/>
            <w:vAlign w:val="top"/>
          </w:tcPr>
          <w:p>
            <w:pPr>
              <w:autoSpaceDE w:val="0"/>
              <w:autoSpaceDN w:val="0"/>
              <w:adjustRightInd w:val="0"/>
              <w:spacing w:after="0" w:line="240" w:lineRule="auto"/>
              <w:rPr>
                <w:rFonts w:hAnsi="Times New Roman" w:eastAsia="Frutiger-Light"/>
                <w:color w:val="auto"/>
                <w:sz w:val="20"/>
                <w:szCs w:val="20"/>
              </w:rPr>
            </w:pPr>
            <w:r>
              <w:rPr>
                <w:rFonts w:hAnsi="Times New Roman"/>
                <w:b/>
                <w:bCs/>
                <w:color w:val="auto"/>
                <w:sz w:val="20"/>
                <w:szCs w:val="20"/>
              </w:rPr>
              <w:t>t Statistics</w:t>
            </w:r>
          </w:p>
        </w:tc>
        <w:tc>
          <w:tcPr>
            <w:tcW w:w="1767" w:type="dxa"/>
            <w:vAlign w:val="top"/>
          </w:tcPr>
          <w:p>
            <w:pPr>
              <w:autoSpaceDE w:val="0"/>
              <w:autoSpaceDN w:val="0"/>
              <w:adjustRightInd w:val="0"/>
              <w:spacing w:after="0" w:line="240" w:lineRule="auto"/>
              <w:rPr>
                <w:rFonts w:hAnsi="Times New Roman"/>
                <w:b/>
                <w:bCs/>
                <w:color w:val="auto"/>
                <w:sz w:val="20"/>
                <w:szCs w:val="20"/>
              </w:rPr>
            </w:pPr>
            <w:r>
              <w:rPr>
                <w:rFonts w:hAnsi="Times New Roman"/>
                <w:b/>
                <w:bCs/>
                <w:color w:val="auto"/>
                <w:sz w:val="20"/>
                <w:szCs w:val="20"/>
              </w:rPr>
              <w:t>Probability</w:t>
            </w:r>
          </w:p>
        </w:tc>
        <w:tc>
          <w:tcPr>
            <w:tcW w:w="2750" w:type="dxa"/>
            <w:vAlign w:val="top"/>
          </w:tcPr>
          <w:p>
            <w:pPr>
              <w:autoSpaceDE w:val="0"/>
              <w:autoSpaceDN w:val="0"/>
              <w:adjustRightInd w:val="0"/>
              <w:spacing w:after="0" w:line="240" w:lineRule="auto"/>
              <w:contextualSpacing/>
              <w:rPr>
                <w:rFonts w:hAnsi="Times New Roman" w:eastAsia="Frutiger-Light"/>
                <w:color w:val="auto"/>
                <w:sz w:val="20"/>
                <w:szCs w:val="20"/>
              </w:rPr>
            </w:pPr>
            <w:r>
              <w:rPr>
                <w:rFonts w:hAnsi="Times New Roman"/>
                <w:b/>
                <w:bCs/>
                <w:color w:val="auto"/>
                <w:sz w:val="20"/>
                <w:szCs w:val="20"/>
              </w:rPr>
              <w:t>Coefficient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vAlign w:val="top"/>
          </w:tcPr>
          <w:p>
            <w:pPr>
              <w:pStyle w:val="22"/>
              <w:spacing w:line="240" w:lineRule="auto"/>
              <w:contextualSpacing/>
              <w:jc w:val="both"/>
              <w:rPr>
                <w:rFonts w:ascii="Calibri" w:eastAsia="Frutiger-Light"/>
                <w:b/>
                <w:color w:val="auto"/>
                <w:sz w:val="20"/>
                <w:szCs w:val="20"/>
              </w:rPr>
            </w:pPr>
          </w:p>
        </w:tc>
        <w:tc>
          <w:tcPr>
            <w:tcW w:w="7702" w:type="dxa"/>
            <w:gridSpan w:val="4"/>
            <w:vAlign w:val="top"/>
          </w:tcPr>
          <w:p>
            <w:pPr>
              <w:pStyle w:val="22"/>
              <w:spacing w:line="240" w:lineRule="auto"/>
              <w:ind w:right="380"/>
              <w:contextualSpacing/>
              <w:jc w:val="both"/>
              <w:rPr>
                <w:rFonts w:ascii="Calibri"/>
                <w:b/>
                <w:bCs/>
                <w:color w:val="auto"/>
                <w:sz w:val="20"/>
                <w:szCs w:val="20"/>
              </w:rPr>
            </w:pPr>
            <w:r>
              <w:rPr>
                <w:rFonts w:ascii="Calibri" w:eastAsia="Frutiger-Light"/>
                <w:b/>
                <w:color w:val="auto"/>
                <w:sz w:val="20"/>
                <w:szCs w:val="20"/>
              </w:rPr>
              <w:t>Financing Supply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vAlign w:val="top"/>
          </w:tcPr>
          <w:p>
            <w:pPr>
              <w:autoSpaceDE w:val="0"/>
              <w:autoSpaceDN w:val="0"/>
              <w:adjustRightInd w:val="0"/>
              <w:spacing w:line="240" w:lineRule="auto"/>
              <w:rPr>
                <w:rFonts w:hAnsi="Times New Roman"/>
                <w:color w:val="auto"/>
                <w:sz w:val="20"/>
                <w:szCs w:val="20"/>
              </w:rPr>
            </w:pPr>
            <w:r>
              <w:rPr>
                <w:rFonts w:hAnsi="Times New Roman" w:eastAsia="Frutiger-Light"/>
                <w:color w:val="auto"/>
                <w:sz w:val="20"/>
                <w:szCs w:val="20"/>
              </w:rPr>
              <w:t>Constant</w:t>
            </w:r>
          </w:p>
        </w:tc>
        <w:tc>
          <w:tcPr>
            <w:tcW w:w="1485"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-24.68159</w:t>
            </w:r>
          </w:p>
        </w:tc>
        <w:tc>
          <w:tcPr>
            <w:tcW w:w="1700"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-42.19231</w:t>
            </w:r>
          </w:p>
        </w:tc>
        <w:tc>
          <w:tcPr>
            <w:tcW w:w="1767"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0.0000*</w:t>
            </w:r>
          </w:p>
        </w:tc>
        <w:tc>
          <w:tcPr>
            <w:tcW w:w="2750" w:type="dxa"/>
            <w:vAlign w:val="center"/>
          </w:tcPr>
          <w:p>
            <w:pPr>
              <w:autoSpaceDE w:val="0"/>
              <w:autoSpaceDN w:val="0"/>
              <w:adjustRightInd w:val="0"/>
              <w:spacing w:line="240" w:lineRule="auto"/>
              <w:jc w:val="center"/>
              <w:rPr>
                <w:rFonts w:hAnsi="Times New Roman" w:eastAsia="Frutiger-Ligh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vAlign w:val="top"/>
          </w:tcPr>
          <w:p>
            <w:pPr>
              <w:autoSpaceDE w:val="0"/>
              <w:autoSpaceDN w:val="0"/>
              <w:adjustRightInd w:val="0"/>
              <w:spacing w:line="240" w:lineRule="auto"/>
              <w:rPr>
                <w:rFonts w:hAnsi="Times New Roman" w:eastAsia="Frutiger-Light"/>
                <w:color w:val="auto"/>
                <w:sz w:val="20"/>
                <w:szCs w:val="20"/>
              </w:rPr>
            </w:pPr>
            <w:r>
              <w:rPr>
                <w:rFonts w:hAnsi="Times New Roman"/>
                <w:color w:val="auto"/>
                <w:sz w:val="20"/>
                <w:szCs w:val="20"/>
              </w:rPr>
              <w:t>BAGI_HASIL</w:t>
            </w:r>
          </w:p>
        </w:tc>
        <w:tc>
          <w:tcPr>
            <w:tcW w:w="1485"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-0.023995</w:t>
            </w:r>
          </w:p>
        </w:tc>
        <w:tc>
          <w:tcPr>
            <w:tcW w:w="1700"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-3.200449</w:t>
            </w:r>
          </w:p>
        </w:tc>
        <w:tc>
          <w:tcPr>
            <w:tcW w:w="1767"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0.0015*</w:t>
            </w:r>
          </w:p>
        </w:tc>
        <w:tc>
          <w:tcPr>
            <w:tcW w:w="2750" w:type="dxa"/>
            <w:vAlign w:val="center"/>
          </w:tcPr>
          <w:p>
            <w:pPr>
              <w:autoSpaceDE w:val="0"/>
              <w:autoSpaceDN w:val="0"/>
              <w:adjustRightInd w:val="0"/>
              <w:spacing w:line="240" w:lineRule="auto"/>
              <w:jc w:val="center"/>
              <w:rPr>
                <w:rFonts w:hAnsi="Times New Roman" w:eastAsia="Frutiger-Light"/>
                <w:color w:val="auto"/>
                <w:sz w:val="20"/>
                <w:szCs w:val="20"/>
              </w:rPr>
            </w:pPr>
            <w:r>
              <w:rPr>
                <w:rFonts w:hAnsi="Times New Roman" w:eastAsia="Frutiger-Light"/>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vAlign w:val="top"/>
          </w:tcPr>
          <w:p>
            <w:pPr>
              <w:autoSpaceDE w:val="0"/>
              <w:autoSpaceDN w:val="0"/>
              <w:adjustRightInd w:val="0"/>
              <w:spacing w:line="240" w:lineRule="auto"/>
              <w:rPr>
                <w:rFonts w:hAnsi="Times New Roman" w:eastAsia="Frutiger-Light"/>
                <w:color w:val="auto"/>
                <w:sz w:val="20"/>
                <w:szCs w:val="20"/>
              </w:rPr>
            </w:pPr>
            <w:r>
              <w:rPr>
                <w:rFonts w:hAnsi="Times New Roman"/>
                <w:color w:val="auto"/>
                <w:sz w:val="20"/>
                <w:szCs w:val="20"/>
              </w:rPr>
              <w:t>PDB</w:t>
            </w:r>
          </w:p>
        </w:tc>
        <w:tc>
          <w:tcPr>
            <w:tcW w:w="1485"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2.294280</w:t>
            </w:r>
          </w:p>
        </w:tc>
        <w:tc>
          <w:tcPr>
            <w:tcW w:w="1700"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61.44538</w:t>
            </w:r>
          </w:p>
        </w:tc>
        <w:tc>
          <w:tcPr>
            <w:tcW w:w="1767"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0.0000*</w:t>
            </w:r>
          </w:p>
        </w:tc>
        <w:tc>
          <w:tcPr>
            <w:tcW w:w="2750" w:type="dxa"/>
            <w:vAlign w:val="center"/>
          </w:tcPr>
          <w:p>
            <w:pPr>
              <w:autoSpaceDE w:val="0"/>
              <w:autoSpaceDN w:val="0"/>
              <w:adjustRightInd w:val="0"/>
              <w:spacing w:line="240" w:lineRule="auto"/>
              <w:jc w:val="center"/>
              <w:rPr>
                <w:rFonts w:hAnsi="Times New Roman" w:eastAsia="Frutiger-Light"/>
                <w:color w:val="auto"/>
                <w:sz w:val="20"/>
                <w:szCs w:val="20"/>
              </w:rPr>
            </w:pPr>
            <w:r>
              <w:rPr>
                <w:rFonts w:hAnsi="Times New Roman" w:eastAsia="Frutiger-Light"/>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8" w:type="dxa"/>
            <w:vAlign w:val="top"/>
          </w:tcPr>
          <w:p>
            <w:pPr>
              <w:autoSpaceDE w:val="0"/>
              <w:autoSpaceDN w:val="0"/>
              <w:adjustRightInd w:val="0"/>
              <w:spacing w:line="240" w:lineRule="auto"/>
              <w:rPr>
                <w:rFonts w:hAnsi="Times New Roman"/>
                <w:color w:val="auto"/>
                <w:sz w:val="20"/>
                <w:szCs w:val="20"/>
              </w:rPr>
            </w:pPr>
            <w:r>
              <w:rPr>
                <w:rFonts w:hAnsi="Times New Roman"/>
                <w:color w:val="auto"/>
                <w:sz w:val="20"/>
                <w:szCs w:val="20"/>
              </w:rPr>
              <w:t>SBI</w:t>
            </w:r>
          </w:p>
        </w:tc>
        <w:tc>
          <w:tcPr>
            <w:tcW w:w="1485"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0.021276</w:t>
            </w:r>
          </w:p>
        </w:tc>
        <w:tc>
          <w:tcPr>
            <w:tcW w:w="1700"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2.294523</w:t>
            </w:r>
          </w:p>
        </w:tc>
        <w:tc>
          <w:tcPr>
            <w:tcW w:w="1767" w:type="dxa"/>
            <w:vAlign w:val="bottom"/>
          </w:tcPr>
          <w:p>
            <w:pPr>
              <w:autoSpaceDE w:val="0"/>
              <w:autoSpaceDN w:val="0"/>
              <w:adjustRightInd w:val="0"/>
              <w:spacing w:line="240" w:lineRule="auto"/>
              <w:ind w:right="10"/>
              <w:jc w:val="right"/>
              <w:rPr>
                <w:rFonts w:hAnsi="Times New Roman"/>
                <w:color w:val="auto"/>
                <w:sz w:val="20"/>
                <w:szCs w:val="20"/>
              </w:rPr>
            </w:pPr>
            <w:r>
              <w:rPr>
                <w:rFonts w:hAnsi="Times New Roman"/>
                <w:color w:val="auto"/>
                <w:sz w:val="20"/>
                <w:szCs w:val="20"/>
              </w:rPr>
              <w:t>0.00225*</w:t>
            </w:r>
          </w:p>
        </w:tc>
        <w:tc>
          <w:tcPr>
            <w:tcW w:w="2750" w:type="dxa"/>
            <w:vAlign w:val="center"/>
          </w:tcPr>
          <w:p>
            <w:pPr>
              <w:autoSpaceDE w:val="0"/>
              <w:autoSpaceDN w:val="0"/>
              <w:adjustRightInd w:val="0"/>
              <w:spacing w:line="240" w:lineRule="auto"/>
              <w:jc w:val="center"/>
              <w:rPr>
                <w:rFonts w:hAnsi="Times New Roman" w:eastAsia="Frutiger-Light"/>
                <w:color w:val="auto"/>
                <w:sz w:val="20"/>
                <w:szCs w:val="20"/>
              </w:rPr>
            </w:pPr>
            <w:r>
              <w:rPr>
                <w:rFonts w:hAnsi="Times New Roman" w:eastAsia="Frutiger-Light"/>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03" w:type="dxa"/>
            <w:gridSpan w:val="3"/>
            <w:vAlign w:val="top"/>
          </w:tcPr>
          <w:p>
            <w:pPr>
              <w:keepNext w:val="0"/>
              <w:keepLines w:val="0"/>
              <w:pageBreakBefore w:val="0"/>
              <w:widowControl/>
              <w:numPr>
                <w:ilvl w:val="0"/>
                <w:numId w:val="2"/>
              </w:numPr>
              <w:kinsoku/>
              <w:wordWrap/>
              <w:overflowPunct/>
              <w:topLinePunct w:val="0"/>
              <w:autoSpaceDE w:val="0"/>
              <w:autoSpaceDN w:val="0"/>
              <w:bidi w:val="0"/>
              <w:adjustRightInd w:val="0"/>
              <w:snapToGrid/>
              <w:spacing w:after="0" w:line="240" w:lineRule="auto"/>
              <w:ind w:left="0" w:leftChars="0" w:right="10" w:rightChars="0" w:firstLine="0" w:firstLineChars="0"/>
              <w:jc w:val="left"/>
              <w:textAlignment w:val="auto"/>
              <w:outlineLvl w:val="9"/>
              <w:rPr>
                <w:rFonts w:hAnsi="Times New Roman"/>
                <w:color w:val="auto"/>
                <w:sz w:val="20"/>
                <w:szCs w:val="20"/>
              </w:rPr>
            </w:pPr>
            <w:r>
              <w:rPr>
                <w:rFonts w:hAnsi="Times New Roman"/>
                <w:color w:val="auto"/>
                <w:sz w:val="20"/>
                <w:szCs w:val="20"/>
              </w:rPr>
              <w:t>squared   0.980608</w:t>
            </w:r>
          </w:p>
          <w:p>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0" w:leftChars="0" w:right="10" w:rightChars="0" w:firstLine="0" w:firstLineChars="0"/>
              <w:jc w:val="left"/>
              <w:textAlignment w:val="auto"/>
              <w:outlineLvl w:val="9"/>
              <w:rPr>
                <w:rFonts w:hAnsi="Times New Roman"/>
                <w:color w:val="auto"/>
                <w:sz w:val="20"/>
                <w:szCs w:val="20"/>
              </w:rPr>
            </w:pPr>
            <w:r>
              <w:rPr>
                <w:rFonts w:hAnsi="Times New Roman"/>
                <w:color w:val="auto"/>
                <w:sz w:val="20"/>
                <w:szCs w:val="20"/>
              </w:rPr>
              <w:t>F-statistic   2460.952</w:t>
            </w:r>
          </w:p>
        </w:tc>
        <w:tc>
          <w:tcPr>
            <w:tcW w:w="4517" w:type="dxa"/>
            <w:gridSpan w:val="2"/>
            <w:vAlign w:val="top"/>
          </w:tcPr>
          <w:p>
            <w:pPr>
              <w:autoSpaceDE w:val="0"/>
              <w:autoSpaceDN w:val="0"/>
              <w:adjustRightInd w:val="0"/>
              <w:spacing w:line="240" w:lineRule="auto"/>
              <w:jc w:val="center"/>
              <w:rPr>
                <w:rFonts w:hAnsi="Times New Roman" w:eastAsia="Frutiger-Light"/>
                <w:color w:val="auto"/>
                <w:sz w:val="20"/>
                <w:szCs w:val="20"/>
              </w:rPr>
            </w:pPr>
            <w:r>
              <w:rPr>
                <w:rFonts w:hAnsi="Times New Roman"/>
                <w:color w:val="auto"/>
                <w:sz w:val="20"/>
                <w:szCs w:val="20"/>
              </w:rPr>
              <w:t>Durbin-Watson stat 0.069616</w:t>
            </w:r>
          </w:p>
        </w:tc>
      </w:tr>
    </w:tbl>
    <w:p>
      <w:pPr>
        <w:autoSpaceDE w:val="0"/>
        <w:autoSpaceDN w:val="0"/>
        <w:adjustRightInd w:val="0"/>
        <w:spacing w:after="0" w:line="240" w:lineRule="auto"/>
        <w:ind w:left="0" w:leftChars="0" w:firstLine="220" w:firstLineChars="100"/>
        <w:rPr>
          <w:rFonts w:hAnsi="Times New Roman" w:eastAsia="Frutiger-Light"/>
          <w:color w:val="auto"/>
        </w:rPr>
      </w:pPr>
      <w:r>
        <w:rPr>
          <w:rFonts w:hAnsi="Times New Roman" w:eastAsia="Frutiger-Light"/>
          <w:color w:val="auto"/>
        </w:rPr>
        <w:t>Note: * Significant at α = 0.05</w:t>
      </w:r>
    </w:p>
    <w:p>
      <w:pPr>
        <w:keepNext w:val="0"/>
        <w:keepLines w:val="0"/>
        <w:pageBreakBefore w:val="0"/>
        <w:widowControl/>
        <w:kinsoku/>
        <w:wordWrap/>
        <w:overflowPunct/>
        <w:topLinePunct w:val="0"/>
        <w:autoSpaceDE w:val="0"/>
        <w:autoSpaceDN w:val="0"/>
        <w:bidi w:val="0"/>
        <w:adjustRightInd w:val="0"/>
        <w:snapToGrid/>
        <w:spacing w:after="0" w:line="240" w:lineRule="auto"/>
        <w:ind w:left="13" w:leftChars="6" w:right="0" w:rightChars="0" w:firstLine="385" w:firstLineChars="0"/>
        <w:jc w:val="both"/>
        <w:textAlignment w:val="auto"/>
        <w:outlineLvl w:val="9"/>
        <w:rPr>
          <w:rFonts w:hint="default" w:hAnsi="Times New Roman" w:eastAsia="Frutiger-Light" w:cs="Times New Roman" w:asciiTheme="minorAscii"/>
          <w:sz w:val="22"/>
          <w:szCs w:val="22"/>
        </w:rPr>
      </w:pPr>
    </w:p>
    <w:p>
      <w:pPr>
        <w:autoSpaceDE w:val="0"/>
        <w:autoSpaceDN w:val="0"/>
        <w:adjustRightInd w:val="0"/>
        <w:spacing w:after="0" w:line="240" w:lineRule="auto"/>
        <w:ind w:left="13" w:leftChars="6" w:firstLine="385"/>
        <w:jc w:val="both"/>
        <w:rPr>
          <w:rFonts w:hAnsi="Times New Roman"/>
          <w:color w:val="auto"/>
        </w:rPr>
      </w:pPr>
      <w:r>
        <w:rPr>
          <w:rFonts w:hAnsi="Times New Roman" w:eastAsia="Frutiger-Light"/>
          <w:color w:val="auto"/>
        </w:rPr>
        <w:t xml:space="preserve">Simultaneous </w:t>
      </w:r>
      <w:r>
        <w:rPr>
          <w:rFonts w:hAnsi="Times New Roman"/>
          <w:color w:val="auto"/>
        </w:rPr>
        <w:t xml:space="preserve">F-statistical </w:t>
      </w:r>
      <w:r>
        <w:rPr>
          <w:rFonts w:hAnsi="Times New Roman" w:eastAsia="Frutiger-Light"/>
          <w:color w:val="auto"/>
        </w:rPr>
        <w:t>tests</w:t>
      </w:r>
      <w:r>
        <w:rPr>
          <w:rFonts w:hAnsi="Times New Roman"/>
          <w:color w:val="auto"/>
        </w:rPr>
        <w:t xml:space="preserve"> show that the F-statistical value is higher than the significance level of 0.05, thus we may say that all independent variables insignificantly, simultaneously influence dependent variables with trust degree of 95 percent.</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 xml:space="preserve">Individual test is performed with t-statistic test. We may view in Table </w:t>
      </w:r>
      <w:r>
        <w:rPr>
          <w:rFonts w:hAnsi="Times New Roman"/>
          <w:color w:val="auto"/>
          <w:lang w:val="en-US"/>
        </w:rPr>
        <w:t>3</w:t>
      </w:r>
      <w:r>
        <w:rPr>
          <w:rFonts w:hAnsi="Times New Roman"/>
          <w:color w:val="auto"/>
        </w:rPr>
        <w:t xml:space="preserve">.4 that the probability of each t-statistic test is significant for all independent variables, which are TBH, PDB and SBI, each of which is significant with significance level of 5 percent.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 xml:space="preserve">The analysis results show that sharia banking profit sharing rate negatively and significantly influences the banking financing demand. The regression coefficient is -0.023995, which means that if profit sharing rate increases for 10%, the sharia banking financing demand decreases for 2.39%. The influence of profit sharing rate on sharia banking financing demand is less elastic. </w:t>
      </w:r>
    </w:p>
    <w:p>
      <w:pPr>
        <w:autoSpaceDE w:val="0"/>
        <w:autoSpaceDN w:val="0"/>
        <w:adjustRightInd w:val="0"/>
        <w:spacing w:after="0" w:line="240" w:lineRule="auto"/>
        <w:ind w:left="13" w:leftChars="6" w:firstLine="385"/>
        <w:jc w:val="both"/>
        <w:rPr>
          <w:rFonts w:hAnsi="Times New Roman"/>
          <w:color w:val="auto"/>
        </w:rPr>
      </w:pPr>
      <w:r>
        <w:rPr>
          <w:rFonts w:hAnsi="Times New Roman"/>
          <w:color w:val="auto"/>
        </w:rPr>
        <w:t xml:space="preserve">The analysis results also show that PDB (Gross Domestic Product) positively and significantly influences sharia banking financing demand. The regression coefficient is 2.294280; which means that if PDB increases for 10%, the sharia banking financing demand increases for 22.94%. The influence of PDB on sharia banking financing demand is very elastic. </w:t>
      </w:r>
    </w:p>
    <w:p>
      <w:pPr>
        <w:autoSpaceDE w:val="0"/>
        <w:autoSpaceDN w:val="0"/>
        <w:adjustRightInd w:val="0"/>
        <w:spacing w:after="0" w:line="240" w:lineRule="auto"/>
        <w:ind w:left="13" w:leftChars="6" w:firstLine="385"/>
        <w:jc w:val="both"/>
        <w:rPr>
          <w:rFonts w:hint="default" w:hAnsi="Times New Roman" w:eastAsia="Frutiger-Light" w:cs="Times New Roman" w:asciiTheme="minorAscii"/>
          <w:sz w:val="22"/>
          <w:szCs w:val="22"/>
        </w:rPr>
      </w:pPr>
      <w:r>
        <w:rPr>
          <w:rFonts w:hAnsi="Times New Roman"/>
          <w:color w:val="auto"/>
        </w:rPr>
        <w:t>SBI</w:t>
      </w:r>
      <w:r>
        <w:rPr>
          <w:rFonts w:hAnsi="Times New Roman"/>
          <w:bCs/>
          <w:color w:val="auto"/>
        </w:rPr>
        <w:t xml:space="preserve"> (Bank Indonesia Certificate) positively and significantly influences</w:t>
      </w:r>
      <w:r>
        <w:rPr>
          <w:rFonts w:hAnsi="Times New Roman"/>
          <w:color w:val="auto"/>
        </w:rPr>
        <w:t xml:space="preserve"> sharia banking financing demand. The regression coefficient is 0.021276, which means that if SBI increases for 10%, sharia banking financing supply demand increases for 2.12%. The influence of SBI on sharia banking financing supply is very elastic. </w:t>
      </w:r>
    </w:p>
    <w:p>
      <w:pPr>
        <w:pStyle w:val="20"/>
        <w:numPr>
          <w:ilvl w:val="0"/>
          <w:numId w:val="0"/>
        </w:numPr>
        <w:autoSpaceDE w:val="0"/>
        <w:autoSpaceDN w:val="0"/>
        <w:adjustRightInd w:val="0"/>
        <w:spacing w:after="0" w:line="240" w:lineRule="auto"/>
        <w:ind w:leftChars="0"/>
        <w:jc w:val="both"/>
        <w:rPr>
          <w:rFonts w:hint="default" w:hAnsi="Times New Roman" w:cs="Times New Roman" w:asciiTheme="minorAscii"/>
          <w:b/>
          <w:color w:val="000000"/>
          <w:sz w:val="22"/>
          <w:szCs w:val="22"/>
        </w:rPr>
      </w:pPr>
      <w:r>
        <w:rPr>
          <w:rFonts w:hint="default" w:hAnsi="Times New Roman" w:cs="Times New Roman" w:asciiTheme="minorAscii"/>
          <w:b/>
          <w:color w:val="000000"/>
          <w:sz w:val="22"/>
          <w:szCs w:val="22"/>
          <w:lang w:val="en-US"/>
        </w:rPr>
        <w:t xml:space="preserve">3.5 </w:t>
      </w:r>
      <w:r>
        <w:rPr>
          <w:rFonts w:hAnsi="Times New Roman"/>
          <w:b/>
          <w:color w:val="auto"/>
        </w:rPr>
        <w:t>Research Results Interpretation</w:t>
      </w:r>
    </w:p>
    <w:p>
      <w:pPr>
        <w:numPr>
          <w:ilvl w:val="0"/>
          <w:numId w:val="3"/>
        </w:numPr>
        <w:tabs>
          <w:tab w:val="left" w:pos="560"/>
        </w:tabs>
        <w:spacing w:line="240" w:lineRule="auto"/>
        <w:ind w:hanging="105"/>
        <w:contextualSpacing/>
        <w:jc w:val="both"/>
        <w:rPr>
          <w:rFonts w:hint="default" w:hAnsi="Times New Roman" w:cs="Times New Roman" w:asciiTheme="minorAscii"/>
          <w:b/>
          <w:color w:val="000000"/>
          <w:sz w:val="22"/>
          <w:szCs w:val="22"/>
        </w:rPr>
      </w:pPr>
      <w:r>
        <w:rPr>
          <w:rFonts w:hAnsi="Times New Roman"/>
          <w:b/>
          <w:color w:val="auto"/>
        </w:rPr>
        <w:t>Sharia Crunch from Supply Perspective</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The decrease of financing fund may be viewed from decreasing demand or supply for banking financing. The real empirical results of sharia banking financing supply (SPemb</w:t>
      </w:r>
      <w:r>
        <w:rPr>
          <w:rFonts w:hAnsi="Times New Roman"/>
          <w:color w:val="auto"/>
          <w:vertAlign w:val="subscript"/>
        </w:rPr>
        <w:t>t</w:t>
      </w:r>
      <w:r>
        <w:rPr>
          <w:rFonts w:hAnsi="Times New Roman"/>
          <w:color w:val="auto"/>
        </w:rPr>
        <w:t>) is determined by Profit Sharing Rate (TBH), Third Party Fund (DPK), Non-Performing Financing (NPF) and Bank Indonesia Wadiah Certificate (SWBI) in possession of sharia commercial bank. The real empirical results of sharia banking financing demand (DPemb</w:t>
      </w:r>
      <w:r>
        <w:rPr>
          <w:rFonts w:hAnsi="Times New Roman"/>
          <w:color w:val="auto"/>
          <w:vertAlign w:val="subscript"/>
        </w:rPr>
        <w:t>t</w:t>
      </w:r>
      <w:r>
        <w:rPr>
          <w:rFonts w:hAnsi="Times New Roman"/>
          <w:color w:val="auto"/>
        </w:rPr>
        <w:t>) is determined by Profit Sharing Rate (TBH), Gross Domestic Product (PDB) and Bank Indonesia Certificate (SBI).</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 xml:space="preserve">The elasticity value of profit sharing on sharia banking financing supply is very high, implying that sharia banks' depositors are highly influenced by profit sharing offered by sharia banks. Profit sharing margin provides relatively higher profit than interest offered by conventional bank, since the profit sharing system given is based on a profit ratio agreed on when a customer open an account. In addition, during monetary crisis period, sharia banks still show better performance compared to conventional banking institutions (Banowo and </w:t>
      </w:r>
      <w:r>
        <w:rPr>
          <w:rFonts w:hAnsi="Times New Roman"/>
          <w:color w:val="auto"/>
          <w:lang w:val="en-US"/>
        </w:rPr>
        <w:t>Budi</w:t>
      </w:r>
      <w:r>
        <w:rPr>
          <w:rFonts w:hAnsi="Times New Roman"/>
          <w:color w:val="auto"/>
        </w:rPr>
        <w:t xml:space="preserve">, 2005). Ani and Wasilah (2010) in their research conclude that profit sharing significantly influences </w:t>
      </w:r>
      <w:r>
        <w:rPr>
          <w:rFonts w:hAnsi="Times New Roman"/>
          <w:i/>
          <w:iCs/>
          <w:color w:val="auto"/>
        </w:rPr>
        <w:t>mudharabah</w:t>
      </w:r>
      <w:r>
        <w:rPr>
          <w:rFonts w:hAnsi="Times New Roman"/>
          <w:color w:val="auto"/>
        </w:rPr>
        <w:t xml:space="preserve"> deposit. Profit Sharing Rate significantly influences </w:t>
      </w:r>
      <w:r>
        <w:rPr>
          <w:rFonts w:hAnsi="Times New Roman"/>
          <w:i/>
          <w:iCs/>
          <w:color w:val="auto"/>
        </w:rPr>
        <w:t>mudharabah</w:t>
      </w:r>
      <w:r>
        <w:rPr>
          <w:rFonts w:hAnsi="Times New Roman"/>
          <w:color w:val="auto"/>
        </w:rPr>
        <w:t xml:space="preserve"> deposit. Haron and </w:t>
      </w:r>
      <w:r>
        <w:rPr>
          <w:rFonts w:hAnsi="Times New Roman"/>
          <w:color w:val="auto"/>
          <w:lang w:val="en-US"/>
        </w:rPr>
        <w:t>Azmi</w:t>
      </w:r>
      <w:r>
        <w:rPr>
          <w:rFonts w:hAnsi="Times New Roman"/>
          <w:color w:val="auto"/>
        </w:rPr>
        <w:t xml:space="preserve"> (2000) in their research conclude that there is positive relationship in profit sharing system.</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The analysis results also show that DPK (Third Party Fund) negatively influences sharia banking financing supply.</w:t>
      </w:r>
      <w:r>
        <w:rPr>
          <w:rFonts w:hAnsi="Times New Roman"/>
          <w:color w:val="auto"/>
          <w:lang w:val="en-US"/>
        </w:rPr>
        <w:t xml:space="preserve"> </w:t>
      </w:r>
      <w:r>
        <w:rPr>
          <w:rFonts w:hAnsi="Times New Roman"/>
          <w:color w:val="auto"/>
        </w:rPr>
        <w:t xml:space="preserve">However, the research results show that when DPK increases, financing fund distributed by sharia banks continuously decreases. </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 xml:space="preserve">The research results imply that sharia banks more carefully provide financing when more funds are collected. They prefer investing money in a safer way like in other banks, thus DPK growth is not proportional to financing growth. Besides, that sharia banks' source of fund distributed for financing other than Third Party Fund is also in the form of committed or uncommitted investment, thus the amount of distributed financing does not entirely depend on Third Party Fund. </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NPF</w:t>
      </w:r>
      <w:r>
        <w:rPr>
          <w:rFonts w:hAnsi="Times New Roman"/>
          <w:bCs/>
          <w:color w:val="auto"/>
        </w:rPr>
        <w:t xml:space="preserve"> (Non-Performing Financing)</w:t>
      </w:r>
      <w:r>
        <w:rPr>
          <w:rFonts w:hAnsi="Times New Roman"/>
          <w:bCs/>
          <w:i/>
          <w:iCs/>
          <w:color w:val="auto"/>
        </w:rPr>
        <w:t xml:space="preserve"> </w:t>
      </w:r>
      <w:r>
        <w:rPr>
          <w:rFonts w:hAnsi="Times New Roman"/>
          <w:color w:val="auto"/>
        </w:rPr>
        <w:t xml:space="preserve">positively and significantly influences sharia banking financing supply. The estimation results show that when NPF increases for 10%, financing will increases for 12.08%. </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 xml:space="preserve">SWBI (Bank Indonesia Wadiah Certificate) positively and significantly influences sharia banking financing supply. The regression elasticity coefficient is 0.00615, implying that the influence of SWBI on sharia banking financing supply is inelastic. </w:t>
      </w:r>
    </w:p>
    <w:p>
      <w:pPr>
        <w:numPr>
          <w:ilvl w:val="0"/>
          <w:numId w:val="3"/>
        </w:numPr>
        <w:tabs>
          <w:tab w:val="left" w:pos="560"/>
        </w:tabs>
        <w:spacing w:line="240" w:lineRule="auto"/>
        <w:ind w:hanging="105"/>
        <w:contextualSpacing/>
        <w:jc w:val="both"/>
        <w:rPr>
          <w:rFonts w:hint="default" w:hAnsi="Times New Roman"/>
          <w:b/>
          <w:bCs w:val="0"/>
          <w:color w:val="auto"/>
        </w:rPr>
      </w:pPr>
      <w:r>
        <w:rPr>
          <w:rFonts w:hAnsi="Times New Roman"/>
          <w:b/>
          <w:bCs w:val="0"/>
          <w:color w:val="auto"/>
        </w:rPr>
        <w:t>Sharia Crunch from Demand Perspective</w:t>
      </w:r>
    </w:p>
    <w:p>
      <w:pPr>
        <w:autoSpaceDE w:val="0"/>
        <w:autoSpaceDN w:val="0"/>
        <w:adjustRightInd w:val="0"/>
        <w:spacing w:after="0" w:line="240" w:lineRule="auto"/>
        <w:ind w:left="330" w:leftChars="150" w:firstLine="389" w:firstLineChars="177"/>
        <w:jc w:val="both"/>
        <w:rPr>
          <w:rFonts w:hAnsi="Times New Roman"/>
          <w:color w:val="auto"/>
        </w:rPr>
      </w:pPr>
      <w:r>
        <w:rPr>
          <w:rFonts w:hAnsi="Times New Roman"/>
          <w:color w:val="auto"/>
        </w:rPr>
        <w:t>The real empirical result of sharia banking financing demand (DPemb</w:t>
      </w:r>
      <w:r>
        <w:rPr>
          <w:rFonts w:hAnsi="Times New Roman"/>
          <w:color w:val="auto"/>
          <w:vertAlign w:val="subscript"/>
        </w:rPr>
        <w:t>t</w:t>
      </w:r>
      <w:r>
        <w:rPr>
          <w:rFonts w:hAnsi="Times New Roman"/>
          <w:color w:val="auto"/>
        </w:rPr>
        <w:t xml:space="preserve">) is determined by Profit Sharing Rate (TBH), Third Party Fund (DPK), Gross Domestic Product (PDB) and Bank Indonesia Certificate (SBI) in possession by sharia commercial bank. </w:t>
      </w:r>
    </w:p>
    <w:p>
      <w:pPr>
        <w:autoSpaceDE w:val="0"/>
        <w:autoSpaceDN w:val="0"/>
        <w:adjustRightInd w:val="0"/>
        <w:spacing w:after="0" w:line="240" w:lineRule="auto"/>
        <w:ind w:left="330" w:leftChars="150" w:firstLine="389" w:firstLineChars="177"/>
        <w:jc w:val="both"/>
        <w:rPr>
          <w:rFonts w:hAnsi="Times New Roman" w:eastAsia="Frutiger-Light"/>
          <w:color w:val="auto"/>
        </w:rPr>
      </w:pPr>
      <w:r>
        <w:rPr>
          <w:rFonts w:hAnsi="Times New Roman"/>
          <w:color w:val="auto"/>
        </w:rPr>
        <w:t xml:space="preserve">The elasticity value of profit sharing on sharia banking financing demand is 2.39%, showing that the profit sharing rate increases for 100% and decreases financing demand for 2.39%. </w:t>
      </w:r>
      <w:r>
        <w:rPr>
          <w:rFonts w:hAnsi="Times New Roman"/>
          <w:color w:val="auto"/>
          <w:lang w:val="en-US"/>
        </w:rPr>
        <w:t xml:space="preserve">                           </w:t>
      </w:r>
      <w:r>
        <w:rPr>
          <w:rFonts w:hAnsi="Times New Roman"/>
          <w:color w:val="auto"/>
        </w:rPr>
        <w:t xml:space="preserve">PDB (Gross Domestic Product) positively and significantly influences sharia banking financing demand. The regression coefficient is 2.294280, implying that the influence of PDB is very elastic. This implies that increasing economy growth will increase financing </w:t>
      </w:r>
      <w:r>
        <w:rPr>
          <w:rFonts w:hAnsi="Times New Roman" w:eastAsia="Frutiger-Light"/>
          <w:color w:val="auto"/>
        </w:rPr>
        <w:t xml:space="preserve">demand, and, on the contrary, in a weakening economy condition (recession), financing demand tends to decrease. </w:t>
      </w:r>
    </w:p>
    <w:p>
      <w:pPr>
        <w:autoSpaceDE w:val="0"/>
        <w:autoSpaceDN w:val="0"/>
        <w:adjustRightInd w:val="0"/>
        <w:spacing w:after="0" w:line="240" w:lineRule="auto"/>
        <w:ind w:left="330" w:leftChars="150" w:firstLine="389" w:firstLineChars="177"/>
        <w:jc w:val="both"/>
        <w:rPr>
          <w:rFonts w:hint="default" w:hAnsi="Times New Roman" w:cs="Times New Roman" w:asciiTheme="minorAscii"/>
          <w:sz w:val="22"/>
          <w:szCs w:val="22"/>
        </w:rPr>
      </w:pPr>
      <w:r>
        <w:rPr>
          <w:rFonts w:hAnsi="Times New Roman"/>
          <w:color w:val="auto"/>
        </w:rPr>
        <w:t>SBI</w:t>
      </w:r>
      <w:r>
        <w:rPr>
          <w:rFonts w:hAnsi="Times New Roman"/>
          <w:bCs/>
          <w:color w:val="auto"/>
        </w:rPr>
        <w:t xml:space="preserve"> (Bank Indonesia Certificate)</w:t>
      </w:r>
      <w:r>
        <w:rPr>
          <w:rFonts w:hAnsi="Times New Roman"/>
          <w:bCs/>
          <w:i/>
          <w:iCs/>
          <w:color w:val="auto"/>
        </w:rPr>
        <w:t xml:space="preserve"> </w:t>
      </w:r>
      <w:r>
        <w:rPr>
          <w:rFonts w:hAnsi="Times New Roman"/>
          <w:color w:val="auto"/>
        </w:rPr>
        <w:t>positively and significantly influences sharia banking financing demand.</w:t>
      </w:r>
      <w:r>
        <w:rPr>
          <w:rFonts w:hAnsi="Times New Roman"/>
          <w:color w:val="auto"/>
          <w:lang w:val="en-US"/>
        </w:rPr>
        <w:t xml:space="preserve"> </w:t>
      </w:r>
      <w:r>
        <w:rPr>
          <w:rFonts w:hAnsi="Times New Roman"/>
          <w:color w:val="auto"/>
        </w:rPr>
        <w:t>The regression coefficient is 0.021276, implying that the influence of SBI on sharia banking financing demand is inelastic.</w:t>
      </w:r>
    </w:p>
    <w:p>
      <w:pPr>
        <w:pStyle w:val="19"/>
        <w:rPr>
          <w:rFonts w:asciiTheme="minorHAnsi" w:hAnsiTheme="minorHAnsi"/>
        </w:rPr>
      </w:pPr>
      <w:r>
        <w:rPr>
          <w:rFonts w:asciiTheme="minorHAnsi" w:hAnsiTheme="minorHAnsi"/>
        </w:rPr>
        <w:t xml:space="preserve">References </w:t>
      </w:r>
    </w:p>
    <w:p>
      <w:pPr>
        <w:ind w:left="768" w:leftChars="163" w:hanging="409" w:hangingChars="186"/>
        <w:jc w:val="both"/>
        <w:rPr>
          <w:rFonts w:hint="default" w:ascii="Calibri" w:hAnsi="Times New Roman" w:cs="Times New Roman"/>
          <w:b w:val="0"/>
          <w:bCs w:val="0"/>
          <w:i w:val="0"/>
          <w:iCs w:val="0"/>
          <w:color w:val="auto"/>
          <w:sz w:val="22"/>
          <w:szCs w:val="22"/>
          <w:lang w:val="en-US"/>
        </w:rPr>
      </w:pPr>
      <w:r>
        <w:rPr>
          <w:rFonts w:hint="default" w:hAnsi="Times New Roman" w:cs="Times New Roman"/>
          <w:b w:val="0"/>
          <w:bCs w:val="0"/>
          <w:i w:val="0"/>
          <w:iCs w:val="0"/>
          <w:color w:val="auto"/>
          <w:sz w:val="22"/>
          <w:szCs w:val="22"/>
          <w:lang w:val="en-US"/>
        </w:rPr>
        <w:t xml:space="preserve">[1]. </w:t>
      </w:r>
      <w:r>
        <w:rPr>
          <w:rFonts w:hint="default" w:ascii="Calibri" w:hAnsi="Times New Roman" w:cs="Times New Roman"/>
          <w:b w:val="0"/>
          <w:bCs w:val="0"/>
          <w:i w:val="0"/>
          <w:iCs w:val="0"/>
          <w:color w:val="auto"/>
          <w:sz w:val="22"/>
          <w:szCs w:val="22"/>
          <w:lang w:val="en-US"/>
        </w:rPr>
        <w:t xml:space="preserve">Hakim, L., Rahayu, S.A.T. 2007. Model Kegentingan Pembiayaan Bank Syariah Pada Masa Krisis. Penelitian Dosen Muda 2007. </w:t>
      </w:r>
      <w:r>
        <w:rPr>
          <w:rFonts w:hint="default" w:ascii="Calibri" w:hAnsi="Times New Roman" w:cs="Times New Roman"/>
          <w:b w:val="0"/>
          <w:bCs w:val="0"/>
          <w:i w:val="0"/>
          <w:iCs w:val="0"/>
          <w:color w:val="auto"/>
          <w:sz w:val="22"/>
          <w:szCs w:val="22"/>
          <w:lang w:val="en-US"/>
        </w:rPr>
        <w:fldChar w:fldCharType="begin"/>
      </w:r>
      <w:r>
        <w:rPr>
          <w:rFonts w:hint="default" w:ascii="Calibri" w:hAnsi="Times New Roman" w:cs="Times New Roman"/>
          <w:b w:val="0"/>
          <w:bCs w:val="0"/>
          <w:i w:val="0"/>
          <w:iCs w:val="0"/>
          <w:color w:val="auto"/>
          <w:sz w:val="22"/>
          <w:szCs w:val="22"/>
          <w:lang w:val="en-US"/>
        </w:rPr>
        <w:instrText xml:space="preserve"> HYPERLINK "http://lukmanhakim.staff.fe.uns.ac.id" </w:instrText>
      </w:r>
      <w:r>
        <w:rPr>
          <w:rFonts w:hint="default" w:ascii="Calibri" w:hAnsi="Times New Roman" w:cs="Times New Roman"/>
          <w:b w:val="0"/>
          <w:bCs w:val="0"/>
          <w:i w:val="0"/>
          <w:iCs w:val="0"/>
          <w:color w:val="auto"/>
          <w:sz w:val="22"/>
          <w:szCs w:val="22"/>
          <w:lang w:val="en-US"/>
        </w:rPr>
        <w:fldChar w:fldCharType="separate"/>
      </w:r>
      <w:r>
        <w:rPr>
          <w:rStyle w:val="8"/>
          <w:rFonts w:hint="default" w:ascii="Calibri" w:hAnsi="Times New Roman" w:cs="Times New Roman"/>
          <w:b w:val="0"/>
          <w:bCs w:val="0"/>
          <w:i w:val="0"/>
          <w:iCs w:val="0"/>
          <w:color w:val="auto"/>
          <w:sz w:val="22"/>
          <w:szCs w:val="22"/>
          <w:lang w:val="en-US"/>
        </w:rPr>
        <w:t>http://lukmanhakim.staff.fe.uns.ac.id</w:t>
      </w:r>
      <w:r>
        <w:rPr>
          <w:rFonts w:hint="default" w:ascii="Calibri" w:hAnsi="Times New Roman" w:cs="Times New Roman"/>
          <w:b w:val="0"/>
          <w:bCs w:val="0"/>
          <w:i w:val="0"/>
          <w:iCs w:val="0"/>
          <w:color w:val="auto"/>
          <w:sz w:val="22"/>
          <w:szCs w:val="22"/>
          <w:lang w:val="en-US"/>
        </w:rPr>
        <w:fldChar w:fldCharType="end"/>
      </w:r>
      <w:r>
        <w:rPr>
          <w:rFonts w:hint="default" w:ascii="Calibri" w:hAnsi="Times New Roman" w:cs="Times New Roman"/>
          <w:b w:val="0"/>
          <w:bCs w:val="0"/>
          <w:i w:val="0"/>
          <w:iCs w:val="0"/>
          <w:color w:val="auto"/>
          <w:sz w:val="22"/>
          <w:szCs w:val="22"/>
          <w:lang w:val="en-US"/>
        </w:rPr>
        <w:t xml:space="preserve"> .</w:t>
      </w:r>
    </w:p>
    <w:p>
      <w:pPr>
        <w:ind w:left="649" w:leftChars="163" w:hanging="290" w:hangingChars="132"/>
        <w:jc w:val="both"/>
        <w:rPr>
          <w:rFonts w:hint="default" w:ascii="Calibri" w:hAnsi="Times New Roman" w:cs="Times New Roman"/>
          <w:b w:val="0"/>
          <w:bCs w:val="0"/>
          <w:color w:val="auto"/>
          <w:sz w:val="22"/>
          <w:szCs w:val="22"/>
          <w:lang w:val="en-US"/>
        </w:rPr>
      </w:pPr>
      <w:r>
        <w:rPr>
          <w:rFonts w:hint="default" w:hAnsi="Times New Roman" w:cs="Times New Roman"/>
          <w:b w:val="0"/>
          <w:bCs w:val="0"/>
          <w:color w:val="auto"/>
          <w:sz w:val="22"/>
          <w:szCs w:val="22"/>
          <w:lang w:val="en-US"/>
        </w:rPr>
        <w:t xml:space="preserve">[2]. </w:t>
      </w:r>
      <w:r>
        <w:rPr>
          <w:rFonts w:hint="default" w:ascii="Calibri" w:hAnsi="Times New Roman" w:cs="Times New Roman"/>
          <w:b w:val="0"/>
          <w:bCs w:val="0"/>
          <w:color w:val="auto"/>
          <w:sz w:val="22"/>
          <w:szCs w:val="22"/>
          <w:lang w:val="en-US"/>
        </w:rPr>
        <w:t xml:space="preserve">Agung, J. 2001. </w:t>
      </w:r>
      <w:r>
        <w:rPr>
          <w:rFonts w:hint="default" w:ascii="Calibri" w:hAnsi="Times New Roman" w:cs="Times New Roman"/>
          <w:b w:val="0"/>
          <w:bCs w:val="0"/>
          <w:i/>
          <w:iCs/>
          <w:color w:val="auto"/>
          <w:sz w:val="22"/>
          <w:szCs w:val="22"/>
          <w:lang w:val="en-US"/>
        </w:rPr>
        <w:t>Financial Crunch di Indonesia setelah Krisis</w:t>
      </w:r>
      <w:r>
        <w:rPr>
          <w:rFonts w:hint="default" w:ascii="Calibri" w:hAnsi="Times New Roman" w:cs="Times New Roman"/>
          <w:b w:val="0"/>
          <w:bCs w:val="0"/>
          <w:color w:val="auto"/>
          <w:sz w:val="22"/>
          <w:szCs w:val="22"/>
          <w:lang w:val="en-US"/>
        </w:rPr>
        <w:t>. Jakarta: Bank Indonesia.</w:t>
      </w:r>
    </w:p>
    <w:p>
      <w:pPr>
        <w:ind w:left="728" w:leftChars="163" w:hanging="369" w:hangingChars="168"/>
        <w:jc w:val="both"/>
        <w:rPr>
          <w:rFonts w:hint="default" w:ascii="Calibri" w:hAnsi="Times New Roman" w:cs="Times New Roman"/>
          <w:b w:val="0"/>
          <w:bCs w:val="0"/>
          <w:color w:val="auto"/>
          <w:sz w:val="22"/>
          <w:szCs w:val="22"/>
          <w:lang w:val="en-US"/>
        </w:rPr>
      </w:pPr>
      <w:r>
        <w:rPr>
          <w:rFonts w:hint="default" w:hAnsi="Times New Roman" w:cs="Times New Roman"/>
          <w:b w:val="0"/>
          <w:bCs w:val="0"/>
          <w:color w:val="auto"/>
          <w:sz w:val="22"/>
          <w:szCs w:val="22"/>
          <w:lang w:val="en-US"/>
        </w:rPr>
        <w:t xml:space="preserve">[3]. Agenor, P.R. 2004. </w:t>
      </w:r>
      <w:r>
        <w:rPr>
          <w:rFonts w:hint="default" w:hAnsi="Times New Roman" w:cs="Times New Roman"/>
          <w:b w:val="0"/>
          <w:bCs w:val="0"/>
          <w:i/>
          <w:iCs/>
          <w:color w:val="auto"/>
          <w:sz w:val="22"/>
          <w:szCs w:val="22"/>
          <w:lang w:val="en-US"/>
        </w:rPr>
        <w:t>The Economics of Adjustment and Growth: Second Edition</w:t>
      </w:r>
      <w:r>
        <w:rPr>
          <w:rFonts w:hint="default" w:hAnsi="Times New Roman" w:cs="Times New Roman"/>
          <w:b w:val="0"/>
          <w:bCs w:val="0"/>
          <w:color w:val="auto"/>
          <w:sz w:val="22"/>
          <w:szCs w:val="22"/>
          <w:lang w:val="en-US"/>
        </w:rPr>
        <w:t>. Harvard University Press.</w:t>
      </w:r>
    </w:p>
    <w:p>
      <w:pPr>
        <w:numPr>
          <w:ilvl w:val="0"/>
          <w:numId w:val="0"/>
        </w:numPr>
        <w:spacing w:line="240" w:lineRule="auto"/>
        <w:ind w:left="712" w:leftChars="145" w:hanging="393" w:hangingChars="179"/>
        <w:jc w:val="both"/>
        <w:rPr>
          <w:rFonts w:hint="default" w:ascii="Calibri" w:hAnsi="Times New Roman" w:cs="Times New Roman"/>
          <w:b w:val="0"/>
          <w:bCs w:val="0"/>
          <w:color w:val="auto"/>
          <w:sz w:val="22"/>
          <w:szCs w:val="22"/>
          <w:lang w:val="en-US"/>
        </w:rPr>
      </w:pPr>
      <w:r>
        <w:rPr>
          <w:rFonts w:hint="default" w:ascii="Calibri" w:hAnsi="SimSun" w:eastAsia="SimSun" w:cs="SimSun"/>
          <w:b w:val="0"/>
          <w:bCs w:val="0"/>
          <w:color w:val="auto"/>
          <w:sz w:val="22"/>
          <w:szCs w:val="22"/>
          <w:lang w:val="en-US"/>
        </w:rPr>
        <w:t xml:space="preserve">[4]. </w:t>
      </w:r>
      <w:r>
        <w:rPr>
          <w:rFonts w:hint="eastAsia" w:ascii="Calibri" w:hAnsi="SimSun" w:eastAsia="SimSun" w:cs="SimSun"/>
          <w:b w:val="0"/>
          <w:bCs w:val="0"/>
          <w:color w:val="auto"/>
          <w:sz w:val="22"/>
          <w:szCs w:val="22"/>
          <w:lang w:val="en-US"/>
        </w:rPr>
        <w:t>Ani, A dan Wasilah. 2010. Faktor-faktor yang mempengaruhi jumlah penghimpunan dana pihak ketiga. Simposium Nasional Akuntansi XIII.</w:t>
      </w:r>
    </w:p>
    <w:p>
      <w:pPr>
        <w:ind w:left="719" w:leftChars="145" w:hanging="400" w:hangingChars="182"/>
        <w:jc w:val="both"/>
        <w:rPr>
          <w:rFonts w:hint="eastAsia" w:ascii="Calibri" w:hAnsi="SimSun" w:eastAsia="SimSun" w:cs="SimSun"/>
          <w:b w:val="0"/>
          <w:bCs w:val="0"/>
          <w:i/>
          <w:iCs/>
          <w:color w:val="auto"/>
          <w:sz w:val="22"/>
          <w:szCs w:val="22"/>
          <w:lang w:val="en-US"/>
        </w:rPr>
      </w:pPr>
      <w:r>
        <w:rPr>
          <w:rFonts w:hint="default" w:ascii="Calibri" w:hAnsi="SimSun" w:eastAsia="SimSun" w:cs="SimSun"/>
          <w:b w:val="0"/>
          <w:bCs w:val="0"/>
          <w:color w:val="auto"/>
          <w:sz w:val="22"/>
          <w:szCs w:val="22"/>
          <w:lang w:val="en-US"/>
        </w:rPr>
        <w:t xml:space="preserve">[5]. </w:t>
      </w:r>
      <w:r>
        <w:rPr>
          <w:rFonts w:hint="eastAsia" w:ascii="Calibri" w:hAnsi="SimSun" w:eastAsia="SimSun" w:cs="SimSun"/>
          <w:b w:val="0"/>
          <w:bCs w:val="0"/>
          <w:color w:val="auto"/>
          <w:sz w:val="22"/>
          <w:szCs w:val="22"/>
          <w:lang w:val="en-US"/>
        </w:rPr>
        <w:t xml:space="preserve">Banowo,E dan Budi, H. 2005. </w:t>
      </w:r>
      <w:r>
        <w:rPr>
          <w:rFonts w:hint="eastAsia" w:ascii="Calibri" w:hAnsi="SimSun" w:eastAsia="SimSun" w:cs="SimSun"/>
          <w:b w:val="0"/>
          <w:bCs w:val="0"/>
          <w:i/>
          <w:iCs/>
          <w:color w:val="auto"/>
          <w:sz w:val="22"/>
          <w:szCs w:val="22"/>
          <w:lang w:val="en-US"/>
        </w:rPr>
        <w:t>Hubungan Equivalent Rate Simpanan Mudharabah dengan Sertifikat Wadiah dan Sertifikat Bank Indonesia.</w:t>
      </w:r>
    </w:p>
    <w:p>
      <w:pPr>
        <w:ind w:left="620" w:leftChars="154" w:hanging="281" w:hangingChars="128"/>
        <w:jc w:val="both"/>
        <w:rPr>
          <w:rFonts w:hint="eastAsia" w:ascii="Calibri" w:hAnsi="SimSun" w:eastAsia="SimSun" w:cs="SimSun"/>
          <w:b w:val="0"/>
          <w:bCs w:val="0"/>
          <w:i/>
          <w:iCs/>
          <w:color w:val="auto"/>
          <w:sz w:val="22"/>
          <w:szCs w:val="22"/>
          <w:lang w:val="en-US"/>
        </w:rPr>
      </w:pPr>
      <w:r>
        <w:rPr>
          <w:rFonts w:hint="default" w:hAnsi="Times New Roman" w:cs="Times New Roman"/>
          <w:b w:val="0"/>
          <w:bCs w:val="0"/>
          <w:i w:val="0"/>
          <w:iCs w:val="0"/>
          <w:color w:val="auto"/>
          <w:sz w:val="22"/>
          <w:szCs w:val="22"/>
          <w:lang w:val="en-US"/>
        </w:rPr>
        <w:t xml:space="preserve">[6]. </w:t>
      </w:r>
      <w:r>
        <w:rPr>
          <w:rFonts w:hint="default" w:ascii="Calibri" w:hAnsi="Times New Roman" w:cs="Times New Roman"/>
          <w:b w:val="0"/>
          <w:bCs w:val="0"/>
          <w:i w:val="0"/>
          <w:iCs w:val="0"/>
          <w:color w:val="auto"/>
          <w:sz w:val="22"/>
          <w:szCs w:val="22"/>
          <w:lang w:val="en-US"/>
        </w:rPr>
        <w:t xml:space="preserve">Eviews 4 Users Guide. 2001. </w:t>
      </w:r>
      <w:r>
        <w:rPr>
          <w:rFonts w:hint="default" w:ascii="Calibri" w:hAnsi="Times New Roman" w:cs="Times New Roman"/>
          <w:b w:val="0"/>
          <w:bCs w:val="0"/>
          <w:i w:val="0"/>
          <w:iCs w:val="0"/>
          <w:color w:val="auto"/>
          <w:sz w:val="22"/>
          <w:szCs w:val="22"/>
          <w:lang w:val="en-US"/>
        </w:rPr>
        <w:fldChar w:fldCharType="begin"/>
      </w:r>
      <w:r>
        <w:rPr>
          <w:rFonts w:hint="default" w:ascii="Calibri" w:hAnsi="Times New Roman" w:cs="Times New Roman"/>
          <w:b w:val="0"/>
          <w:bCs w:val="0"/>
          <w:i w:val="0"/>
          <w:iCs w:val="0"/>
          <w:color w:val="auto"/>
          <w:sz w:val="22"/>
          <w:szCs w:val="22"/>
          <w:lang w:val="en-US"/>
        </w:rPr>
        <w:instrText xml:space="preserve"> HYPERLINK "http://eviews.com" </w:instrText>
      </w:r>
      <w:r>
        <w:rPr>
          <w:rFonts w:hint="default" w:ascii="Calibri" w:hAnsi="Times New Roman" w:cs="Times New Roman"/>
          <w:b w:val="0"/>
          <w:bCs w:val="0"/>
          <w:i w:val="0"/>
          <w:iCs w:val="0"/>
          <w:color w:val="auto"/>
          <w:sz w:val="22"/>
          <w:szCs w:val="22"/>
          <w:lang w:val="en-US"/>
        </w:rPr>
        <w:fldChar w:fldCharType="separate"/>
      </w:r>
      <w:r>
        <w:rPr>
          <w:rStyle w:val="8"/>
          <w:rFonts w:hint="default" w:ascii="Calibri" w:hAnsi="Times New Roman" w:cs="Times New Roman"/>
          <w:b w:val="0"/>
          <w:bCs w:val="0"/>
          <w:i w:val="0"/>
          <w:iCs w:val="0"/>
          <w:color w:val="auto"/>
          <w:sz w:val="22"/>
          <w:szCs w:val="22"/>
          <w:lang w:val="en-US"/>
        </w:rPr>
        <w:t>http://eviews.com</w:t>
      </w:r>
      <w:r>
        <w:rPr>
          <w:rFonts w:hint="default" w:ascii="Calibri" w:hAnsi="Times New Roman" w:cs="Times New Roman"/>
          <w:b w:val="0"/>
          <w:bCs w:val="0"/>
          <w:i w:val="0"/>
          <w:iCs w:val="0"/>
          <w:color w:val="auto"/>
          <w:sz w:val="22"/>
          <w:szCs w:val="22"/>
          <w:lang w:val="en-US"/>
        </w:rPr>
        <w:fldChar w:fldCharType="end"/>
      </w:r>
    </w:p>
    <w:p>
      <w:pPr>
        <w:ind w:left="719" w:leftChars="145" w:hanging="400" w:hangingChars="182"/>
        <w:jc w:val="both"/>
        <w:rPr>
          <w:rFonts w:hint="eastAsia" w:ascii="Calibri" w:hAnsi="SimSun" w:eastAsia="SimSun" w:cs="SimSun"/>
          <w:b w:val="0"/>
          <w:bCs w:val="0"/>
          <w:i/>
          <w:iCs/>
          <w:color w:val="auto"/>
          <w:sz w:val="22"/>
          <w:szCs w:val="22"/>
          <w:lang w:val="en-US"/>
        </w:rPr>
      </w:pPr>
      <w:r>
        <w:rPr>
          <w:rFonts w:hint="default" w:ascii="Calibri" w:hAnsi="Times New Roman" w:cs="Times New Roman"/>
          <w:b w:val="0"/>
          <w:bCs w:val="0"/>
          <w:color w:val="auto"/>
          <w:sz w:val="22"/>
          <w:szCs w:val="22"/>
          <w:lang w:val="en-US"/>
        </w:rPr>
        <w:t xml:space="preserve">[7]. Gujarati, D. 2003. Perbandingan Peranan Jalur Pembiayaan Pada Masa dan Sebelum Krisis 1990.1-2000.4 </w:t>
      </w:r>
      <w:r>
        <w:rPr>
          <w:rFonts w:hint="default" w:ascii="Calibri" w:hAnsi="Times New Roman" w:cs="Times New Roman"/>
          <w:b w:val="0"/>
          <w:bCs w:val="0"/>
          <w:i/>
          <w:iCs/>
          <w:color w:val="auto"/>
          <w:sz w:val="22"/>
          <w:szCs w:val="22"/>
          <w:lang w:val="en-US"/>
        </w:rPr>
        <w:t>dalam</w:t>
      </w:r>
      <w:r>
        <w:rPr>
          <w:rFonts w:hint="default" w:ascii="Calibri" w:hAnsi="Times New Roman" w:cs="Times New Roman"/>
          <w:b w:val="0"/>
          <w:bCs w:val="0"/>
          <w:color w:val="auto"/>
          <w:sz w:val="22"/>
          <w:szCs w:val="22"/>
          <w:lang w:val="en-US"/>
        </w:rPr>
        <w:t xml:space="preserve"> Lukman Hakim </w:t>
      </w:r>
      <w:r>
        <w:rPr>
          <w:rFonts w:hint="default" w:ascii="Calibri" w:hAnsi="Times New Roman" w:cs="Times New Roman"/>
          <w:b w:val="0"/>
          <w:bCs w:val="0"/>
          <w:i/>
          <w:iCs/>
          <w:color w:val="auto"/>
          <w:sz w:val="22"/>
          <w:szCs w:val="22"/>
          <w:lang w:val="en-US"/>
        </w:rPr>
        <w:t>et al</w:t>
      </w:r>
      <w:r>
        <w:rPr>
          <w:rFonts w:hint="default" w:ascii="Calibri" w:hAnsi="Times New Roman" w:cs="Times New Roman"/>
          <w:b w:val="0"/>
          <w:bCs w:val="0"/>
          <w:i w:val="0"/>
          <w:iCs w:val="0"/>
          <w:color w:val="auto"/>
          <w:sz w:val="22"/>
          <w:szCs w:val="22"/>
          <w:lang w:val="en-US"/>
        </w:rPr>
        <w:t xml:space="preserve">. </w:t>
      </w:r>
      <w:r>
        <w:rPr>
          <w:rFonts w:hint="default" w:ascii="Calibri" w:hAnsi="Times New Roman" w:cs="Times New Roman"/>
          <w:b w:val="0"/>
          <w:bCs w:val="0"/>
          <w:i/>
          <w:iCs/>
          <w:color w:val="auto"/>
          <w:sz w:val="22"/>
          <w:szCs w:val="22"/>
          <w:lang w:val="en-US"/>
        </w:rPr>
        <w:t xml:space="preserve">Beberapa Agenda Perekonomian Indonesia: Kritik dan Solusi. </w:t>
      </w:r>
      <w:r>
        <w:rPr>
          <w:rFonts w:hint="default" w:ascii="Calibri" w:hAnsi="Times New Roman" w:cs="Times New Roman"/>
          <w:b w:val="0"/>
          <w:bCs w:val="0"/>
          <w:i w:val="0"/>
          <w:iCs w:val="0"/>
          <w:color w:val="auto"/>
          <w:sz w:val="22"/>
          <w:szCs w:val="22"/>
          <w:lang w:val="en-US"/>
        </w:rPr>
        <w:t>Jakarta: DRFE Usakti.</w:t>
      </w:r>
    </w:p>
    <w:p>
      <w:pPr>
        <w:ind w:left="699" w:leftChars="145" w:hanging="380" w:hangingChars="173"/>
        <w:jc w:val="both"/>
        <w:rPr>
          <w:rFonts w:hint="default" w:ascii="Calibri" w:hAnsi="Times New Roman" w:cs="Times New Roman"/>
          <w:b w:val="0"/>
          <w:bCs w:val="0"/>
          <w:color w:val="auto"/>
          <w:sz w:val="22"/>
          <w:szCs w:val="22"/>
          <w:lang w:val="en-US"/>
        </w:rPr>
      </w:pPr>
      <w:r>
        <w:rPr>
          <w:rFonts w:hint="default" w:ascii="Calibri" w:hAnsi="Times New Roman" w:cs="Times New Roman"/>
          <w:b w:val="0"/>
          <w:bCs w:val="0"/>
          <w:i w:val="0"/>
          <w:iCs w:val="0"/>
          <w:color w:val="auto"/>
          <w:sz w:val="22"/>
          <w:szCs w:val="22"/>
          <w:lang w:val="en-US"/>
        </w:rPr>
        <w:t>[8]. Haron, S dan Azmi, W. N. W. 2008. Determinants of Islamic and Conventional Deposits in The Malaysian Banking System. Managerial Finance vol 34(9).</w:t>
      </w:r>
    </w:p>
    <w:p>
      <w:pPr>
        <w:ind w:left="739" w:leftChars="145" w:hanging="420" w:hangingChars="191"/>
        <w:jc w:val="both"/>
        <w:rPr>
          <w:rFonts w:hint="default" w:ascii="Calibri" w:hAnsi="Times New Roman" w:cs="Times New Roman"/>
          <w:b w:val="0"/>
          <w:bCs w:val="0"/>
          <w:color w:val="auto"/>
          <w:sz w:val="22"/>
          <w:szCs w:val="22"/>
          <w:lang w:val="en-US"/>
        </w:rPr>
      </w:pPr>
      <w:r>
        <w:rPr>
          <w:rFonts w:hint="default" w:hAnsi="Times New Roman" w:cs="Times New Roman"/>
          <w:b w:val="0"/>
          <w:bCs w:val="0"/>
          <w:color w:val="auto"/>
          <w:sz w:val="22"/>
          <w:szCs w:val="22"/>
          <w:lang w:val="en-US"/>
        </w:rPr>
        <w:t xml:space="preserve">[9]. </w:t>
      </w:r>
      <w:r>
        <w:rPr>
          <w:rFonts w:hint="default" w:ascii="Calibri" w:hAnsi="Times New Roman" w:cs="Times New Roman"/>
          <w:b w:val="0"/>
          <w:bCs w:val="0"/>
          <w:color w:val="auto"/>
          <w:sz w:val="22"/>
          <w:szCs w:val="22"/>
          <w:lang w:val="en-US"/>
        </w:rPr>
        <w:t xml:space="preserve">Swandayani, </w:t>
      </w:r>
      <w:r>
        <w:rPr>
          <w:rFonts w:hint="default" w:hAnsi="Times New Roman" w:cs="Times New Roman"/>
          <w:b w:val="0"/>
          <w:bCs w:val="0"/>
          <w:color w:val="auto"/>
          <w:sz w:val="22"/>
          <w:szCs w:val="22"/>
          <w:lang w:val="en-US"/>
        </w:rPr>
        <w:t>M.</w:t>
      </w:r>
      <w:r>
        <w:rPr>
          <w:rFonts w:hint="default" w:ascii="Calibri" w:hAnsi="Times New Roman" w:cs="Times New Roman"/>
          <w:b w:val="0"/>
          <w:bCs w:val="0"/>
          <w:color w:val="auto"/>
          <w:sz w:val="22"/>
          <w:szCs w:val="22"/>
          <w:lang w:val="en-US"/>
        </w:rPr>
        <w:t>D.,</w:t>
      </w:r>
      <w:r>
        <w:rPr>
          <w:rFonts w:hint="default" w:hAnsi="Times New Roman" w:cs="Times New Roman"/>
          <w:b w:val="0"/>
          <w:bCs w:val="0"/>
          <w:color w:val="auto"/>
          <w:sz w:val="22"/>
          <w:szCs w:val="22"/>
          <w:lang w:val="en-US"/>
        </w:rPr>
        <w:t xml:space="preserve"> </w:t>
      </w:r>
      <w:r>
        <w:rPr>
          <w:rFonts w:hint="default" w:ascii="Calibri" w:hAnsi="Times New Roman" w:cs="Times New Roman"/>
          <w:b w:val="0"/>
          <w:bCs w:val="0"/>
          <w:color w:val="auto"/>
          <w:sz w:val="22"/>
          <w:szCs w:val="22"/>
          <w:lang w:val="en-US"/>
        </w:rPr>
        <w:t xml:space="preserve">Kusumaningtyas, R. 2012. Pengaruh Inflasi, Suku Bunga, Nilai Tukar Valas dan Jumlah Uang Beredar terhadap Profitabilitas pada Perbankan Syariah di Indonesia Periode 2005-2009. </w:t>
      </w:r>
      <w:r>
        <w:rPr>
          <w:rFonts w:hint="default" w:ascii="Calibri" w:hAnsi="Times New Roman" w:cs="Times New Roman"/>
          <w:b w:val="0"/>
          <w:bCs w:val="0"/>
          <w:i/>
          <w:iCs/>
          <w:color w:val="auto"/>
          <w:sz w:val="22"/>
          <w:szCs w:val="22"/>
          <w:lang w:val="en-US"/>
        </w:rPr>
        <w:t>Akrual</w:t>
      </w:r>
      <w:r>
        <w:rPr>
          <w:rFonts w:hint="default" w:ascii="Calibri" w:hAnsi="Times New Roman" w:cs="Times New Roman"/>
          <w:b w:val="0"/>
          <w:bCs w:val="0"/>
          <w:color w:val="auto"/>
          <w:sz w:val="22"/>
          <w:szCs w:val="22"/>
          <w:lang w:val="en-US"/>
        </w:rPr>
        <w:t xml:space="preserve"> 3 (2): 147-166.</w:t>
      </w:r>
    </w:p>
    <w:p>
      <w:pPr>
        <w:ind w:left="739" w:leftChars="145" w:hanging="420" w:hangingChars="191"/>
        <w:jc w:val="both"/>
        <w:rPr>
          <w:rFonts w:hint="default" w:hAnsi="Times New Roman" w:cs="Times New Roman"/>
          <w:b w:val="0"/>
          <w:bCs w:val="0"/>
          <w:color w:val="auto"/>
          <w:sz w:val="22"/>
          <w:szCs w:val="22"/>
          <w:lang w:val="en-US"/>
        </w:rPr>
      </w:pPr>
      <w:r>
        <w:rPr>
          <w:rFonts w:hint="default" w:hAnsi="Times New Roman" w:cs="Times New Roman"/>
          <w:b w:val="0"/>
          <w:bCs w:val="0"/>
          <w:color w:val="auto"/>
          <w:sz w:val="22"/>
          <w:szCs w:val="22"/>
          <w:lang w:val="en-US"/>
        </w:rPr>
        <w:t xml:space="preserve">[10]. Alqahtani, F., D.G. Mayes., K. Brown. 2017. Reprint Economic Turmoil and Islamic Banking: Evidence from the Gulf Cooperation Council. </w:t>
      </w:r>
      <w:r>
        <w:rPr>
          <w:rFonts w:hint="default" w:hAnsi="Times New Roman" w:cs="Times New Roman"/>
          <w:b w:val="0"/>
          <w:bCs w:val="0"/>
          <w:i/>
          <w:iCs/>
          <w:color w:val="auto"/>
          <w:sz w:val="22"/>
          <w:szCs w:val="22"/>
          <w:lang w:val="en-US"/>
        </w:rPr>
        <w:t>Pacific-basin Finance Journal</w:t>
      </w:r>
      <w:r>
        <w:rPr>
          <w:rFonts w:hint="default" w:hAnsi="Times New Roman" w:cs="Times New Roman"/>
          <w:b w:val="0"/>
          <w:bCs w:val="0"/>
          <w:color w:val="auto"/>
          <w:sz w:val="22"/>
          <w:szCs w:val="22"/>
          <w:lang w:val="en-US"/>
        </w:rPr>
        <w:t xml:space="preserve"> 42(2017): 113-125.</w:t>
      </w:r>
    </w:p>
    <w:p>
      <w:pPr>
        <w:ind w:left="739" w:leftChars="145" w:hanging="420" w:hangingChars="191"/>
        <w:jc w:val="both"/>
        <w:rPr>
          <w:rFonts w:hint="default" w:hAnsi="Times New Roman" w:cs="Times New Roman"/>
          <w:b w:val="0"/>
          <w:bCs w:val="0"/>
          <w:color w:val="auto"/>
          <w:sz w:val="22"/>
          <w:szCs w:val="22"/>
          <w:lang w:val="en-US"/>
        </w:rPr>
      </w:pPr>
      <w:r>
        <w:rPr>
          <w:rFonts w:hint="default" w:hAnsi="Times New Roman" w:cs="Times New Roman"/>
          <w:b w:val="0"/>
          <w:bCs w:val="0"/>
          <w:color w:val="auto"/>
          <w:sz w:val="22"/>
          <w:szCs w:val="22"/>
          <w:lang w:val="en-US"/>
        </w:rPr>
        <w:t xml:space="preserve">[11]. Safiullah, Md., A. Shamsuddin. 2018. Risk in Islamic Banking and Corporate Governance. </w:t>
      </w:r>
      <w:r>
        <w:rPr>
          <w:rFonts w:hint="default" w:hAnsi="Times New Roman" w:cs="Times New Roman"/>
          <w:b w:val="0"/>
          <w:bCs w:val="0"/>
          <w:i/>
          <w:iCs/>
          <w:color w:val="auto"/>
          <w:sz w:val="22"/>
          <w:szCs w:val="22"/>
          <w:lang w:val="en-US"/>
        </w:rPr>
        <w:t xml:space="preserve">Pacific-Basin Finance Journal </w:t>
      </w:r>
      <w:r>
        <w:rPr>
          <w:rFonts w:hint="default" w:hAnsi="Times New Roman" w:cs="Times New Roman"/>
          <w:b w:val="0"/>
          <w:bCs w:val="0"/>
          <w:color w:val="auto"/>
          <w:sz w:val="22"/>
          <w:szCs w:val="22"/>
          <w:lang w:val="en-US"/>
        </w:rPr>
        <w:t>47(2018) 129-149.</w:t>
      </w:r>
    </w:p>
    <w:p>
      <w:pPr>
        <w:ind w:left="739" w:leftChars="145" w:hanging="420" w:hangingChars="191"/>
        <w:jc w:val="both"/>
        <w:rPr>
          <w:rFonts w:hint="default" w:hAnsi="Times New Roman" w:cs="Times New Roman"/>
          <w:b w:val="0"/>
          <w:bCs w:val="0"/>
          <w:i w:val="0"/>
          <w:iCs w:val="0"/>
          <w:color w:val="auto"/>
          <w:sz w:val="22"/>
          <w:szCs w:val="22"/>
          <w:lang w:val="en-US"/>
        </w:rPr>
      </w:pPr>
      <w:r>
        <w:rPr>
          <w:rFonts w:hint="default" w:hAnsi="Times New Roman" w:cs="Times New Roman"/>
          <w:b w:val="0"/>
          <w:bCs w:val="0"/>
          <w:color w:val="auto"/>
          <w:sz w:val="22"/>
          <w:szCs w:val="22"/>
          <w:lang w:val="en-US"/>
        </w:rPr>
        <w:t xml:space="preserve">[12]. Kabir, Md.N., A. Worthington., R. Gupta. 2015. Comparative Credit Risk in Islamic and Conventional Bank. </w:t>
      </w:r>
      <w:r>
        <w:rPr>
          <w:rFonts w:hint="default" w:hAnsi="Times New Roman" w:cs="Times New Roman"/>
          <w:b w:val="0"/>
          <w:bCs w:val="0"/>
          <w:i/>
          <w:iCs/>
          <w:color w:val="auto"/>
          <w:sz w:val="22"/>
          <w:szCs w:val="22"/>
          <w:lang w:val="en-US"/>
        </w:rPr>
        <w:t xml:space="preserve">Pacific-Basin Finance Journal </w:t>
      </w:r>
      <w:r>
        <w:rPr>
          <w:rFonts w:hint="default" w:hAnsi="Times New Roman" w:cs="Times New Roman"/>
          <w:b w:val="0"/>
          <w:bCs w:val="0"/>
          <w:i w:val="0"/>
          <w:iCs w:val="0"/>
          <w:color w:val="auto"/>
          <w:sz w:val="22"/>
          <w:szCs w:val="22"/>
          <w:lang w:val="en-US"/>
        </w:rPr>
        <w:t>34(2015) 327-353</w:t>
      </w:r>
    </w:p>
    <w:p>
      <w:pPr>
        <w:ind w:left="620" w:leftChars="154" w:hanging="281" w:hangingChars="128"/>
        <w:jc w:val="both"/>
        <w:rPr>
          <w:rFonts w:hint="default" w:hAnsi="Times New Roman" w:cs="Times New Roman"/>
          <w:b w:val="0"/>
          <w:bCs w:val="0"/>
          <w:i w:val="0"/>
          <w:iCs w:val="0"/>
          <w:color w:val="auto"/>
          <w:sz w:val="22"/>
          <w:szCs w:val="22"/>
          <w:lang w:val="en-US"/>
        </w:rPr>
      </w:pPr>
      <w:r>
        <w:rPr>
          <w:rFonts w:hint="default" w:hAnsi="Times New Roman" w:cs="Times New Roman"/>
          <w:b w:val="0"/>
          <w:bCs w:val="0"/>
          <w:i w:val="0"/>
          <w:iCs w:val="0"/>
          <w:color w:val="auto"/>
          <w:sz w:val="22"/>
          <w:szCs w:val="22"/>
          <w:lang w:val="en-US"/>
        </w:rPr>
        <w:t xml:space="preserve">[13]. </w:t>
      </w:r>
      <w:r>
        <w:rPr>
          <w:rFonts w:hint="default" w:hAnsi="Times New Roman" w:cs="Times New Roman"/>
          <w:b w:val="0"/>
          <w:bCs w:val="0"/>
          <w:i w:val="0"/>
          <w:iCs w:val="0"/>
          <w:color w:val="auto"/>
          <w:sz w:val="22"/>
          <w:szCs w:val="22"/>
          <w:lang w:val="en-US"/>
        </w:rPr>
        <w:fldChar w:fldCharType="begin"/>
      </w:r>
      <w:r>
        <w:rPr>
          <w:rFonts w:hint="default" w:hAnsi="Times New Roman" w:cs="Times New Roman"/>
          <w:b w:val="0"/>
          <w:bCs w:val="0"/>
          <w:i w:val="0"/>
          <w:iCs w:val="0"/>
          <w:color w:val="auto"/>
          <w:sz w:val="22"/>
          <w:szCs w:val="22"/>
          <w:lang w:val="en-US"/>
        </w:rPr>
        <w:instrText xml:space="preserve"> HYPERLINK "http://www.bps.go.id" </w:instrText>
      </w:r>
      <w:r>
        <w:rPr>
          <w:rFonts w:hint="default" w:hAnsi="Times New Roman" w:cs="Times New Roman"/>
          <w:b w:val="0"/>
          <w:bCs w:val="0"/>
          <w:i w:val="0"/>
          <w:iCs w:val="0"/>
          <w:color w:val="auto"/>
          <w:sz w:val="22"/>
          <w:szCs w:val="22"/>
          <w:lang w:val="en-US"/>
        </w:rPr>
        <w:fldChar w:fldCharType="separate"/>
      </w:r>
      <w:r>
        <w:rPr>
          <w:rStyle w:val="8"/>
          <w:rFonts w:hint="default" w:hAnsi="Times New Roman" w:cs="Times New Roman"/>
          <w:b w:val="0"/>
          <w:bCs w:val="0"/>
          <w:i w:val="0"/>
          <w:iCs w:val="0"/>
          <w:color w:val="auto"/>
          <w:sz w:val="22"/>
          <w:szCs w:val="22"/>
          <w:lang w:val="en-US"/>
        </w:rPr>
        <w:t>http://www.bps.go.id</w:t>
      </w:r>
      <w:r>
        <w:rPr>
          <w:rFonts w:hint="default" w:hAnsi="Times New Roman" w:cs="Times New Roman"/>
          <w:b w:val="0"/>
          <w:bCs w:val="0"/>
          <w:i w:val="0"/>
          <w:iCs w:val="0"/>
          <w:color w:val="auto"/>
          <w:sz w:val="22"/>
          <w:szCs w:val="22"/>
          <w:lang w:val="en-US"/>
        </w:rPr>
        <w:fldChar w:fldCharType="end"/>
      </w:r>
    </w:p>
    <w:p>
      <w:pPr>
        <w:ind w:left="620" w:leftChars="154" w:hanging="281" w:hangingChars="128"/>
        <w:jc w:val="both"/>
        <w:rPr>
          <w:rFonts w:hint="default" w:hAnsi="Times New Roman" w:cs="Times New Roman"/>
          <w:b w:val="0"/>
          <w:bCs w:val="0"/>
          <w:i w:val="0"/>
          <w:iCs w:val="0"/>
          <w:color w:val="auto"/>
          <w:sz w:val="22"/>
          <w:szCs w:val="22"/>
          <w:lang w:val="en-US"/>
        </w:rPr>
      </w:pPr>
      <w:r>
        <w:rPr>
          <w:rFonts w:hint="default" w:hAnsi="Times New Roman" w:cs="Times New Roman"/>
          <w:b w:val="0"/>
          <w:bCs w:val="0"/>
          <w:i w:val="0"/>
          <w:iCs w:val="0"/>
          <w:color w:val="auto"/>
          <w:sz w:val="22"/>
          <w:szCs w:val="22"/>
          <w:lang w:val="en-US"/>
        </w:rPr>
        <w:t>[14].</w:t>
      </w:r>
      <w:r>
        <w:rPr>
          <w:rFonts w:hint="default" w:hAnsi="Times New Roman" w:cs="Times New Roman"/>
          <w:b w:val="0"/>
          <w:bCs w:val="0"/>
          <w:i w:val="0"/>
          <w:iCs w:val="0"/>
          <w:color w:val="auto"/>
          <w:sz w:val="22"/>
          <w:szCs w:val="22"/>
          <w:lang w:val="en-US"/>
        </w:rPr>
        <w:fldChar w:fldCharType="begin"/>
      </w:r>
      <w:r>
        <w:rPr>
          <w:rFonts w:hint="default" w:hAnsi="Times New Roman" w:cs="Times New Roman"/>
          <w:b w:val="0"/>
          <w:bCs w:val="0"/>
          <w:i w:val="0"/>
          <w:iCs w:val="0"/>
          <w:color w:val="auto"/>
          <w:sz w:val="22"/>
          <w:szCs w:val="22"/>
          <w:lang w:val="en-US"/>
        </w:rPr>
        <w:instrText xml:space="preserve"> HYPERLINK "http://www.ojk.go.id" </w:instrText>
      </w:r>
      <w:r>
        <w:rPr>
          <w:rFonts w:hint="default" w:hAnsi="Times New Roman" w:cs="Times New Roman"/>
          <w:b w:val="0"/>
          <w:bCs w:val="0"/>
          <w:i w:val="0"/>
          <w:iCs w:val="0"/>
          <w:color w:val="auto"/>
          <w:sz w:val="22"/>
          <w:szCs w:val="22"/>
          <w:lang w:val="en-US"/>
        </w:rPr>
        <w:fldChar w:fldCharType="separate"/>
      </w:r>
      <w:r>
        <w:rPr>
          <w:rStyle w:val="8"/>
          <w:rFonts w:hint="default" w:hAnsi="Times New Roman" w:cs="Times New Roman"/>
          <w:b w:val="0"/>
          <w:bCs w:val="0"/>
          <w:i w:val="0"/>
          <w:iCs w:val="0"/>
          <w:color w:val="auto"/>
          <w:sz w:val="22"/>
          <w:szCs w:val="22"/>
          <w:lang w:val="en-US"/>
        </w:rPr>
        <w:t>http://www.ojk.go.id</w:t>
      </w:r>
      <w:r>
        <w:rPr>
          <w:rFonts w:hint="default" w:hAnsi="Times New Roman" w:cs="Times New Roman"/>
          <w:b w:val="0"/>
          <w:bCs w:val="0"/>
          <w:i w:val="0"/>
          <w:iCs w:val="0"/>
          <w:color w:val="auto"/>
          <w:sz w:val="22"/>
          <w:szCs w:val="22"/>
          <w:lang w:val="en-US"/>
        </w:rPr>
        <w:fldChar w:fldCharType="end"/>
      </w:r>
    </w:p>
    <w:p>
      <w:pPr>
        <w:ind w:left="620" w:leftChars="154" w:hanging="281" w:hangingChars="128"/>
        <w:jc w:val="both"/>
        <w:rPr>
          <w:rFonts w:hint="default" w:hAnsi="Times New Roman" w:cs="Times New Roman"/>
          <w:b w:val="0"/>
          <w:bCs w:val="0"/>
          <w:i w:val="0"/>
          <w:iCs w:val="0"/>
          <w:color w:val="auto"/>
          <w:sz w:val="22"/>
          <w:szCs w:val="22"/>
          <w:lang w:val="en-US"/>
        </w:rPr>
      </w:pPr>
      <w:r>
        <w:rPr>
          <w:rFonts w:hint="default" w:hAnsi="Times New Roman" w:cs="Times New Roman"/>
          <w:b w:val="0"/>
          <w:bCs w:val="0"/>
          <w:i w:val="0"/>
          <w:iCs w:val="0"/>
          <w:color w:val="auto"/>
          <w:sz w:val="22"/>
          <w:szCs w:val="22"/>
          <w:lang w:val="en-US"/>
        </w:rPr>
        <w:t xml:space="preserve">[15]. </w:t>
      </w:r>
      <w:r>
        <w:rPr>
          <w:rFonts w:hint="default" w:hAnsi="Times New Roman" w:cs="Times New Roman"/>
          <w:b w:val="0"/>
          <w:bCs w:val="0"/>
          <w:i w:val="0"/>
          <w:iCs w:val="0"/>
          <w:color w:val="auto"/>
          <w:sz w:val="22"/>
          <w:szCs w:val="22"/>
          <w:lang w:val="en-US"/>
        </w:rPr>
        <w:fldChar w:fldCharType="begin"/>
      </w:r>
      <w:r>
        <w:rPr>
          <w:rFonts w:hint="default" w:hAnsi="Times New Roman" w:cs="Times New Roman"/>
          <w:b w:val="0"/>
          <w:bCs w:val="0"/>
          <w:i w:val="0"/>
          <w:iCs w:val="0"/>
          <w:color w:val="auto"/>
          <w:sz w:val="22"/>
          <w:szCs w:val="22"/>
          <w:lang w:val="en-US"/>
        </w:rPr>
        <w:instrText xml:space="preserve"> HYPERLINK "http://www.bi.go.id" </w:instrText>
      </w:r>
      <w:r>
        <w:rPr>
          <w:rFonts w:hint="default" w:hAnsi="Times New Roman" w:cs="Times New Roman"/>
          <w:b w:val="0"/>
          <w:bCs w:val="0"/>
          <w:i w:val="0"/>
          <w:iCs w:val="0"/>
          <w:color w:val="auto"/>
          <w:sz w:val="22"/>
          <w:szCs w:val="22"/>
          <w:lang w:val="en-US"/>
        </w:rPr>
        <w:fldChar w:fldCharType="separate"/>
      </w:r>
      <w:r>
        <w:rPr>
          <w:rStyle w:val="8"/>
          <w:rFonts w:hint="default" w:hAnsi="Times New Roman" w:cs="Times New Roman"/>
          <w:b w:val="0"/>
          <w:bCs w:val="0"/>
          <w:i w:val="0"/>
          <w:iCs w:val="0"/>
          <w:color w:val="auto"/>
          <w:sz w:val="22"/>
          <w:szCs w:val="22"/>
          <w:lang w:val="en-US"/>
        </w:rPr>
        <w:t>http://www.bi.go.id</w:t>
      </w:r>
      <w:r>
        <w:rPr>
          <w:rFonts w:hint="default" w:hAnsi="Times New Roman" w:cs="Times New Roman"/>
          <w:b w:val="0"/>
          <w:bCs w:val="0"/>
          <w:i w:val="0"/>
          <w:iCs w:val="0"/>
          <w:color w:val="auto"/>
          <w:sz w:val="22"/>
          <w:szCs w:val="22"/>
          <w:lang w:val="en-US"/>
        </w:rPr>
        <w:fldChar w:fldCharType="end"/>
      </w:r>
    </w:p>
    <w:p>
      <w:pPr>
        <w:ind w:left="620" w:leftChars="154" w:hanging="281" w:hangingChars="128"/>
        <w:jc w:val="both"/>
        <w:rPr>
          <w:rFonts w:hint="default" w:hAnsi="Times New Roman" w:cs="Times New Roman"/>
          <w:b w:val="0"/>
          <w:bCs w:val="0"/>
          <w:i w:val="0"/>
          <w:iCs w:val="0"/>
          <w:color w:val="auto"/>
          <w:sz w:val="22"/>
          <w:szCs w:val="22"/>
          <w:lang w:val="en-US"/>
        </w:rPr>
      </w:pPr>
    </w:p>
    <w:p>
      <w:pPr>
        <w:tabs>
          <w:tab w:val="left" w:pos="2805"/>
        </w:tabs>
        <w:rPr>
          <w:rFonts w:eastAsia="ArnoPro-LightDisplay" w:asciiTheme="minorHAnsi" w:hAnsiTheme="minorHAnsi"/>
          <w:szCs w:val="24"/>
        </w:rPr>
      </w:pPr>
    </w:p>
    <w:p/>
    <w:sectPr>
      <w:headerReference r:id="rId4" w:type="default"/>
      <w:footerReference r:id="rId6" w:type="default"/>
      <w:headerReference r:id="rId5" w:type="even"/>
      <w:footerReference r:id="rId7" w:type="even"/>
      <w:pgSz w:w="11907" w:h="16840"/>
      <w:pgMar w:top="1134" w:right="1134" w:bottom="1134" w:left="1134" w:header="675" w:footer="680"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ymbol">
    <w:panose1 w:val="05050102010706020507"/>
    <w:charset w:val="02"/>
    <w:family w:val="roman"/>
    <w:pitch w:val="default"/>
    <w:sig w:usb0="00000000" w:usb1="00000000" w:usb2="00000000" w:usb3="00000000" w:csb0="80000000" w:csb1="00000000"/>
  </w:font>
  <w:font w:name="TimesNewRoman">
    <w:altName w:val="MS Mincho"/>
    <w:panose1 w:val="00000000000000000000"/>
    <w:charset w:val="80"/>
    <w:family w:val="auto"/>
    <w:pitch w:val="default"/>
    <w:sig w:usb0="00000000" w:usb1="00000000" w:usb2="00000010" w:usb3="00000000" w:csb0="00020001" w:csb1="00000000"/>
  </w:font>
  <w:font w:name="Times-Bold">
    <w:altName w:val="Times New Roman"/>
    <w:panose1 w:val="00000000000000000000"/>
    <w:charset w:val="00"/>
    <w:family w:val="roman"/>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1" w:csb1="00000000"/>
  </w:font>
  <w:font w:name="Frutiger-Light">
    <w:altName w:val="MS Mincho"/>
    <w:panose1 w:val="00000000000000000000"/>
    <w:charset w:val="80"/>
    <w:family w:val="auto"/>
    <w:pitch w:val="default"/>
    <w:sig w:usb0="00000000" w:usb1="00000000" w:usb2="00000010" w:usb3="00000000" w:csb0="00020000" w:csb1="00000000"/>
  </w:font>
  <w:font w:name="ArnoPro-LightDisplay">
    <w:altName w:val="MS Mincho"/>
    <w:panose1 w:val="00000000000000000000"/>
    <w:charset w:val="80"/>
    <w:family w:val="roman"/>
    <w:pitch w:val="default"/>
    <w:sig w:usb0="00000000" w:usb1="00000000" w:usb2="00000010" w:usb3="00000000" w:csb0="00020002" w:csb1="00000000"/>
  </w:font>
  <w:font w:name="Goudy Stout">
    <w:panose1 w:val="0202090407030B020401"/>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g">
          <w:drawing>
            <wp:inline distT="0" distB="0" distL="114300" distR="114300">
              <wp:extent cx="408940" cy="237490"/>
              <wp:effectExtent l="4445" t="4445" r="5715" b="5715"/>
              <wp:docPr id="8" name="Group 6"/>
              <wp:cNvGraphicFramePr/>
              <a:graphic xmlns:a="http://schemas.openxmlformats.org/drawingml/2006/main">
                <a:graphicData uri="http://schemas.microsoft.com/office/word/2010/wordprocessingGroup">
                  <wpg:wgp>
                    <wpg:cNvGrpSpPr/>
                    <wpg:grpSpPr>
                      <a:xfrm>
                        <a:off x="0" y="0"/>
                        <a:ext cx="408940" cy="237490"/>
                        <a:chOff x="614" y="660"/>
                        <a:chExt cx="864" cy="374"/>
                      </a:xfrm>
                    </wpg:grpSpPr>
                    <wps:wsp>
                      <wps:cNvPr id="5" name="AutoShape 7"/>
                      <wps:cNvSpPr/>
                      <wps:spPr>
                        <a:xfrm rot="-5400000">
                          <a:off x="859" y="415"/>
                          <a:ext cx="374" cy="864"/>
                        </a:xfrm>
                        <a:prstGeom prst="roundRect">
                          <a:avLst>
                            <a:gd name="adj" fmla="val 16667"/>
                          </a:avLst>
                        </a:prstGeom>
                        <a:solidFill>
                          <a:srgbClr val="FFFFFF"/>
                        </a:solidFill>
                        <a:ln w="9525" cap="flat" cmpd="sng">
                          <a:solidFill>
                            <a:srgbClr val="C4BC96"/>
                          </a:solidFill>
                          <a:prstDash val="solid"/>
                          <a:headEnd type="none" w="med" len="med"/>
                          <a:tailEnd type="none" w="med" len="med"/>
                        </a:ln>
                      </wps:spPr>
                      <wps:bodyPr upright="1"/>
                    </wps:wsp>
                    <wps:wsp>
                      <wps:cNvPr id="6" name="AutoShape 8"/>
                      <wps:cNvSpPr/>
                      <wps:spPr>
                        <a:xfrm rot="-5400000">
                          <a:off x="898" y="451"/>
                          <a:ext cx="296" cy="792"/>
                        </a:xfrm>
                        <a:prstGeom prst="roundRect">
                          <a:avLst>
                            <a:gd name="adj" fmla="val 16667"/>
                          </a:avLst>
                        </a:prstGeom>
                        <a:solidFill>
                          <a:srgbClr val="C4BC96"/>
                        </a:solidFill>
                        <a:ln w="9525" cap="flat" cmpd="sng">
                          <a:solidFill>
                            <a:srgbClr val="C4BC96"/>
                          </a:solidFill>
                          <a:prstDash val="solid"/>
                          <a:headEnd type="none" w="med" len="med"/>
                          <a:tailEnd type="none" w="med" len="med"/>
                        </a:ln>
                      </wps:spPr>
                      <wps:bodyPr upright="1"/>
                    </wps:wsp>
                    <wps:wsp>
                      <wps:cNvPr id="7" name="Text Box 9"/>
                      <wps:cNvSpPr txBox="1"/>
                      <wps:spPr>
                        <a:xfrm>
                          <a:off x="732" y="716"/>
                          <a:ext cx="659" cy="288"/>
                        </a:xfrm>
                        <a:prstGeom prst="rect">
                          <a:avLst/>
                        </a:prstGeom>
                        <a:noFill/>
                        <a:ln w="9525">
                          <a:noFill/>
                        </a:ln>
                      </wps:spPr>
                      <wps:txbx>
                        <w:txbxContent>
                          <w:p>
                            <w:pPr>
                              <w:jc w:val="center"/>
                              <w:rPr>
                                <w:color w:val="FFFFFF"/>
                              </w:rPr>
                            </w:pPr>
                            <w:r>
                              <w:fldChar w:fldCharType="begin"/>
                            </w:r>
                            <w:r>
                              <w:instrText xml:space="preserve"> PAGE    \* MERGEFORMAT </w:instrText>
                            </w:r>
                            <w:r>
                              <w:fldChar w:fldCharType="separate"/>
                            </w:r>
                            <w:r>
                              <w:rPr>
                                <w:b/>
                                <w:color w:val="FFFFFF"/>
                              </w:rPr>
                              <w:t>1</w:t>
                            </w:r>
                            <w:r>
                              <w:rPr>
                                <w:b/>
                                <w:color w:val="FFFFFF"/>
                              </w:rPr>
                              <w:fldChar w:fldCharType="end"/>
                            </w:r>
                          </w:p>
                        </w:txbxContent>
                      </wps:txbx>
                      <wps:bodyPr lIns="0" tIns="0" rIns="0" bIns="0" upright="1"/>
                    </wps:wsp>
                  </wpg:wgp>
                </a:graphicData>
              </a:graphic>
            </wp:inline>
          </w:drawing>
        </mc:Choice>
        <mc:Fallback>
          <w:pict>
            <v:group id="Group 6" o:spid="_x0000_s1026" o:spt="203" style="height:18.7pt;width:32.2pt;" coordorigin="614,660" coordsize="864,374" o:gfxdata="UEsDBAoAAAAAAIdO4kAAAAAAAAAAAAAAAAAEAAAAZHJzL1BLAwQUAAAACACHTuJAnXwaG9UAAAAD&#10;AQAADwAAAGRycy9kb3ducmV2LnhtbE2PQUvDQBCF74L/YRnBm93ExioxkyJFPRXBVhBv0+w0Cc3O&#10;huw2af+9qxe9DDze471viuXJdmrkwbdOENJZAoqlcqaVGuFj+3LzAMoHEkOdE0Y4s4dleXlRUG7c&#10;JO88bkKtYon4nBCaEPpca181bMnPXM8Svb0bLIUoh1qbgaZYbjt9myQLbamVuNBQz6uGq8PmaBFe&#10;J5qe5unzuD7sV+ev7d3b5zplxOurNHkEFfgU/sLwgx/RoYxMO3cU41WHEB8Jvzd6iywDtUOY32eg&#10;y0L/Zy+/AVBLAwQUAAAACACHTuJABCZunAoDAAA/CQAADgAAAGRycy9lMm9Eb2MueG1s7Vbbbtsw&#10;DH0fsH8Q9N46SR0nNuoUa7sWA4atWLsPUGz5MsiSIClx+vejGDmXdgW2DuvT8uBQIkWRR4eUzi82&#10;nSBrbmyrZE7HpyNKuCxU2co6p98fbk7mlFjHZMmEkjynj9zSi8X7d+e9zvhENUqU3BBwIm3W65w2&#10;zuksimzR8I7ZU6W5BGWlTMccDE0dlYb14L0T0WQ0SqJemVIbVXBrYfZ6q6QL9F9VvHBfq8pyR0RO&#10;ITaHX4Pfpf9Gi3OW1Ybppi1CGOwVUXSslbDpztU1c4ysTPvMVdcWRllVudNCdZGqqrbgmANkMx49&#10;yebWqJXGXOqsr/UOJoD2CU6vdlt8Wd8Z0pY5hYOSrIMjwl1J4qHpdZ2Bxa3R9/rOhIl6O/LZbirT&#10;+X/Ig2wQ1McdqHzjSAGT8WiexgB9AarJ2SxOA+hFAyfjVyXjmBJQJslO8zGsnSeg8gthnY8nGraM&#10;fGS7QHoN5LF7fOzf4XPfMM0RduuzD/hMB3w+rJxCEzLbYoRWO4BsZgGrAR1iFHDuZBqP/A8pEsCa&#10;T1NMOx5PvRuWDYD5XDFpn/1h0izTxrpbrjrihZwCPWT5DTiOftn6s3XeUV2Gk2TlD0qqTgCj10yQ&#10;cZIkGDLAGIxBGnz6lVaJtrxphcCBqZdXwhBYmtMb/IVwjsyEJH1O0+kEACoYlHAlmAOx00AqK2uM&#10;7WiFPXR8FV9epUg2iOXIzAd2zWyzDQBVW6AazsqPsiTuUQNdJfQV6kPoeEmJ4NCGvISQOtaK37GE&#10;rYUEenkibU/PS0tVPsLhr7Rp6wbgHmP6gWy+ON6Adclz1s19GH5z4Oafsy6FOoeCiqeYzZ51EzgE&#10;ZN0snWCeQ6ntGfL2rHuZHP9ZF67Mf9LrZgPrHnxTulQbkj4hHXEbmA414cl42PR89whdbnY2Qb7N&#10;xljje74lvv3hnTBHQkMJDrfJ0JEGvh01uG1DHEz8TlL5joX1fsCKI82v69ttlptQSqHUxScJePp3&#10;wiCYQVgOwkvtAK8kuKXxlgovCv8MOBxji9m/ex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J18&#10;GhvVAAAAAwEAAA8AAAAAAAAAAQAgAAAAIgAAAGRycy9kb3ducmV2LnhtbFBLAQIUABQAAAAIAIdO&#10;4kAEJm6cCgMAAD8JAAAOAAAAAAAAAAEAIAAAACQBAABkcnMvZTJvRG9jLnhtbFBLBQYAAAAABgAG&#10;AFkBAACgBgAAAAA=&#10;">
              <o:lock v:ext="edit" aspectratio="f"/>
              <v:roundrect id="AutoShape 7" o:spid="_x0000_s1026" o:spt="2" style="position:absolute;left:859;top:415;height:864;width:374;rotation:-5898240f;" fillcolor="#FFFFFF" filled="t" stroked="t" coordsize="21600,21600" arcsize="0.166666666666667" o:gfxdata="UEsDBAoAAAAAAIdO4kAAAAAAAAAAAAAAAAAEAAAAZHJzL1BLAwQUAAAACACHTuJAXqr0ALoAAADa&#10;AAAADwAAAGRycy9kb3ducmV2LnhtbEWPQYvCMBSE78L+h/AWvGmi4CLVKLis6E10RXp8NM822ryU&#10;Jlb99xtB2OMwM98w8+XD1aKjNljPGkZDBYK48MZyqeH4ux5MQYSIbLD2TBqeFGC5+OjNMTP+znvq&#10;DrEUCcIhQw1VjE0mZSgqchiGviFO3tm3DmOSbSlNi/cEd7UcK/UlHVpOCxU29F1RcT3cnAYbNj8X&#10;FRDtad1Nn/tdvlnZXOv+50jNQER6xP/wu701GibwupJu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qvQAugAAANoA&#10;AAAPAAAAAAAAAAEAIAAAACIAAABkcnMvZG93bnJldi54bWxQSwECFAAUAAAACACHTuJAMy8FnjsA&#10;AAA5AAAAEAAAAAAAAAABACAAAAAJAQAAZHJzL3NoYXBleG1sLnhtbFBLBQYAAAAABgAGAFsBAACz&#10;AwAAAAA=&#10;">
                <v:fill on="t" focussize="0,0"/>
                <v:stroke color="#C4BC96" joinstyle="round"/>
                <v:imagedata o:title=""/>
                <o:lock v:ext="edit" aspectratio="f"/>
              </v:roundrect>
              <v:roundrect id="AutoShape 8" o:spid="_x0000_s1026" o:spt="2" style="position:absolute;left:898;top:451;height:792;width:296;rotation:-5898240f;" fillcolor="#C4BC96" filled="t" stroked="t" coordsize="21600,21600" arcsize="0.166666666666667" o:gfxdata="UEsDBAoAAAAAAIdO4kAAAAAAAAAAAAAAAAAEAAAAZHJzL1BLAwQUAAAACACHTuJAuXGCXbwAAADa&#10;AAAADwAAAGRycy9kb3ducmV2LnhtbEWPT4vCMBTE78J+h/AEb5rqgkq30YOLsHsR/AN6fDRvm9Lm&#10;pTTZtn57Iwgeh5n5DZNtB1uLjlpfOlYwnyUgiHOnSy4UXM776RqED8gaa8ek4E4etpuPUYapdj0f&#10;qTuFQkQI+xQVmBCaVEqfG7LoZ64hjt6fay2GKNtC6hb7CLe1XCTJUlosOS4YbGhnKK9O/1bB4Vau&#10;1r/dpTqcff5d366m/8RBqcl4nnyBCDSEd/jV/tEKlvC8Em+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xgl28AAAA&#10;2gAAAA8AAAAAAAAAAQAgAAAAIgAAAGRycy9kb3ducmV2LnhtbFBLAQIUABQAAAAIAIdO4kAzLwWe&#10;OwAAADkAAAAQAAAAAAAAAAEAIAAAAAsBAABkcnMvc2hhcGV4bWwueG1sUEsFBgAAAAAGAAYAWwEA&#10;ALUDAAAAAA==&#10;">
                <v:fill on="t" focussize="0,0"/>
                <v:stroke color="#C4BC96" joinstyle="round"/>
                <v:imagedata o:title=""/>
                <o:lock v:ext="edit" aspectratio="f"/>
              </v:roundrect>
              <v:shape id="Text Box 9" o:spid="_x0000_s1026" o:spt="202" type="#_x0000_t202" style="position:absolute;left:732;top:716;height:288;width:659;"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jc w:val="center"/>
                        <w:rPr>
                          <w:color w:val="FFFFFF"/>
                        </w:rPr>
                      </w:pPr>
                      <w:r>
                        <w:fldChar w:fldCharType="begin"/>
                      </w:r>
                      <w:r>
                        <w:instrText xml:space="preserve"> PAGE    \* MERGEFORMAT </w:instrText>
                      </w:r>
                      <w:r>
                        <w:fldChar w:fldCharType="separate"/>
                      </w:r>
                      <w:r>
                        <w:rPr>
                          <w:b/>
                          <w:color w:val="FFFFFF"/>
                        </w:rPr>
                        <w:t>1</w:t>
                      </w:r>
                      <w:r>
                        <w:rPr>
                          <w:b/>
                          <w:color w:val="FFFFFF"/>
                        </w:rPr>
                        <w:fldChar w:fldCharType="end"/>
                      </w:r>
                    </w:p>
                  </w:txbxContent>
                </v:textbox>
              </v:shape>
              <w10:wrap type="non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g">
          <w:drawing>
            <wp:inline distT="0" distB="0" distL="114300" distR="114300">
              <wp:extent cx="408940" cy="237490"/>
              <wp:effectExtent l="4445" t="4445" r="5715" b="5715"/>
              <wp:docPr id="4" name="Group 10"/>
              <wp:cNvGraphicFramePr/>
              <a:graphic xmlns:a="http://schemas.openxmlformats.org/drawingml/2006/main">
                <a:graphicData uri="http://schemas.microsoft.com/office/word/2010/wordprocessingGroup">
                  <wpg:wgp>
                    <wpg:cNvGrpSpPr/>
                    <wpg:grpSpPr>
                      <a:xfrm>
                        <a:off x="0" y="0"/>
                        <a:ext cx="408940" cy="237490"/>
                        <a:chOff x="614" y="660"/>
                        <a:chExt cx="864" cy="374"/>
                      </a:xfrm>
                    </wpg:grpSpPr>
                    <wps:wsp>
                      <wps:cNvPr id="1" name="AutoShape 11"/>
                      <wps:cNvSpPr/>
                      <wps:spPr>
                        <a:xfrm rot="-5400000">
                          <a:off x="859" y="415"/>
                          <a:ext cx="374" cy="864"/>
                        </a:xfrm>
                        <a:prstGeom prst="roundRect">
                          <a:avLst>
                            <a:gd name="adj" fmla="val 16667"/>
                          </a:avLst>
                        </a:prstGeom>
                        <a:solidFill>
                          <a:srgbClr val="FFFFFF"/>
                        </a:solidFill>
                        <a:ln w="9525" cap="flat" cmpd="sng">
                          <a:solidFill>
                            <a:srgbClr val="C4BC96"/>
                          </a:solidFill>
                          <a:prstDash val="solid"/>
                          <a:headEnd type="none" w="med" len="med"/>
                          <a:tailEnd type="none" w="med" len="med"/>
                        </a:ln>
                      </wps:spPr>
                      <wps:bodyPr upright="1"/>
                    </wps:wsp>
                    <wps:wsp>
                      <wps:cNvPr id="2" name="AutoShape 12"/>
                      <wps:cNvSpPr/>
                      <wps:spPr>
                        <a:xfrm rot="-5400000">
                          <a:off x="898" y="451"/>
                          <a:ext cx="296" cy="792"/>
                        </a:xfrm>
                        <a:prstGeom prst="roundRect">
                          <a:avLst>
                            <a:gd name="adj" fmla="val 16667"/>
                          </a:avLst>
                        </a:prstGeom>
                        <a:solidFill>
                          <a:srgbClr val="C4BC96"/>
                        </a:solidFill>
                        <a:ln w="9525" cap="flat" cmpd="sng">
                          <a:solidFill>
                            <a:srgbClr val="C4BC96"/>
                          </a:solidFill>
                          <a:prstDash val="solid"/>
                          <a:headEnd type="none" w="med" len="med"/>
                          <a:tailEnd type="none" w="med" len="med"/>
                        </a:ln>
                      </wps:spPr>
                      <wps:bodyPr upright="1"/>
                    </wps:wsp>
                    <wps:wsp>
                      <wps:cNvPr id="3" name="Text Box 13"/>
                      <wps:cNvSpPr txBox="1"/>
                      <wps:spPr>
                        <a:xfrm>
                          <a:off x="732" y="716"/>
                          <a:ext cx="659" cy="288"/>
                        </a:xfrm>
                        <a:prstGeom prst="rect">
                          <a:avLst/>
                        </a:prstGeom>
                        <a:noFill/>
                        <a:ln w="9525">
                          <a:noFill/>
                        </a:ln>
                      </wps:spPr>
                      <wps:txbx>
                        <w:txbxContent>
                          <w:p>
                            <w:pPr>
                              <w:jc w:val="center"/>
                              <w:rPr>
                                <w:color w:val="FFFFFF"/>
                              </w:rPr>
                            </w:pPr>
                            <w:r>
                              <w:fldChar w:fldCharType="begin"/>
                            </w:r>
                            <w:r>
                              <w:instrText xml:space="preserve"> PAGE    \* MERGEFORMAT </w:instrText>
                            </w:r>
                            <w:r>
                              <w:fldChar w:fldCharType="separate"/>
                            </w:r>
                            <w:r>
                              <w:rPr>
                                <w:b/>
                                <w:color w:val="FFFFFF"/>
                              </w:rPr>
                              <w:t>2</w:t>
                            </w:r>
                            <w:r>
                              <w:rPr>
                                <w:b/>
                                <w:color w:val="FFFFFF"/>
                              </w:rPr>
                              <w:fldChar w:fldCharType="end"/>
                            </w:r>
                          </w:p>
                        </w:txbxContent>
                      </wps:txbx>
                      <wps:bodyPr lIns="0" tIns="0" rIns="0" bIns="0" upright="1"/>
                    </wps:wsp>
                  </wpg:wgp>
                </a:graphicData>
              </a:graphic>
            </wp:inline>
          </w:drawing>
        </mc:Choice>
        <mc:Fallback>
          <w:pict>
            <v:group id="Group 10" o:spid="_x0000_s1026" o:spt="203" style="height:18.7pt;width:32.2pt;" coordorigin="614,660" coordsize="864,374" o:gfxdata="UEsDBAoAAAAAAIdO4kAAAAAAAAAAAAAAAAAEAAAAZHJzL1BLAwQUAAAACACHTuJAnXwaG9UAAAAD&#10;AQAADwAAAGRycy9kb3ducmV2LnhtbE2PQUvDQBCF74L/YRnBm93ExioxkyJFPRXBVhBv0+w0Cc3O&#10;huw2af+9qxe9DDze471viuXJdmrkwbdOENJZAoqlcqaVGuFj+3LzAMoHEkOdE0Y4s4dleXlRUG7c&#10;JO88bkKtYon4nBCaEPpca181bMnPXM8Svb0bLIUoh1qbgaZYbjt9myQLbamVuNBQz6uGq8PmaBFe&#10;J5qe5unzuD7sV+ev7d3b5zplxOurNHkEFfgU/sLwgx/RoYxMO3cU41WHEB8Jvzd6iywDtUOY32eg&#10;y0L/Zy+/AVBLAwQUAAAACACHTuJAXePfBQADAABDCQAADgAAAGRycy9lMm9Eb2MueG1s7Vbbbtsw&#10;DH0fsH8Q9N46ThwnMeoUa7sWA4atWLsPUGz5MsiSIClx8vejGNtJunYYOnRPy4OjC0mRh4eULi63&#10;jSAbbmytZErD8xElXGYqr2WZ0u+Pt2dzSqxjMmdCSZ7SHbf0cvn+3UWrEz5WlRI5NwSMSJu0OqWV&#10;czoJAptVvGH2XGkuYbNQpmEOpqYMcsNasN6IYDwaxUGrTK6Nyri1sHqz36RLtF8UPHNfi8JyR0RK&#10;wTeHX4Pflf8GywuWlIbpqs46N9grvGhYLeHQwdQNc4ysTf2LqabOjLKqcOeZagJVFHXGMQaIJhw9&#10;iebOqLXGWMqkLfUAE0D7BKdXm82+bO4NqfOURpRI1kCK8FQSIjatLhMQuTP6Qd8bAMsvlPuZD3db&#10;mMb/QyBki6juBlT51pEMFqPRfBEB9hlsjSezaNGhnlWQGq8Vh3A2bMbxsPOx053HsOUVQc/nKuiP&#10;DE4caTWwxx4Asn8H0EPFNEfcrY++AyjsAfqwdgpFSBh6p/zpIDYgZBMLYPXwEKOAdWfTaOR/SJIO&#10;rfl0gXFH4XTPwx4xHyxG7cM/jpol2lh3x1VD/CClQBCZfwOWo122+WwdsjDvcsnyH5QUjQBOb5gg&#10;YRzHs85iJwyI9ja9plWizm9rIXBiytW1MARUU3qLv075RExI0qZ0MR1PwWsGRVwI5mDYaKCVlSX6&#10;dqJhjw1fR1fXi/g5w96xG2arvQNowYuxpOIs/yhz4nYaCCuhs1DvQsNzSgSHRuRHKOlYLf5EEmAQ&#10;Evjlc7nPnh+tVL6D7K+1qcsK4MZ0owywbZ/4N6fd+BnajX1wr6bdAnoylFQ0xXBY0tNuDFlA2s0W&#10;eMBQbAeK/HvavcyO/7Trbs036XaTnnaPnh5XakvCyRPWEbeF9a4qDoXTt+jhVphNgMNAuFmIVX4g&#10;XOwbIF4L87m3/RvCnbS4vehx25LK9yys+CNa+FYx7Dxf4W672na11BW7+CQBUP9W6AemH6z6wUsN&#10;AW8luKkxlO5V4Z8Cx3NsMoe3z/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nXwaG9UAAAADAQAA&#10;DwAAAAAAAAABACAAAAAiAAAAZHJzL2Rvd25yZXYueG1sUEsBAhQAFAAAAAgAh07iQF3j3wUAAwAA&#10;QwkAAA4AAAAAAAAAAQAgAAAAJAEAAGRycy9lMm9Eb2MueG1sUEsFBgAAAAAGAAYAWQEAAJYGAAAA&#10;AA==&#10;">
              <o:lock v:ext="edit" aspectratio="f"/>
              <v:roundrect id="AutoShape 11" o:spid="_x0000_s1026" o:spt="2" style="position:absolute;left:859;top:415;height:864;width:374;rotation:-5898240f;" fillcolor="#FFFFFF" filled="t" stroked="t" coordsize="21600,21600" arcsize="0.166666666666667" o:gfxdata="UEsDBAoAAAAAAIdO4kAAAAAAAAAAAAAAAAAEAAAAZHJzL1BLAwQUAAAACACHTuJAIZHyA7gAAADa&#10;AAAADwAAAGRycy9kb3ducmV2LnhtbEVPS4vCMBC+C/sfwgjeNHEPi1RjYRdFb4sPxOPQjG20mZQm&#10;tvrvjbCwp+Hje84if7hadNQG61nDdKJAEBfeWC41HA/r8QxEiMgGa8+k4UkB8uXHYIGZ8T3vqNvH&#10;UqQQDhlqqGJsMilDUZHDMPENceIuvnUYE2xLaVrsU7ir5adSX9Kh5dRQYUM/FRW3/d1psGGzuqqA&#10;aE/rbvbc/Z433/as9Wg4VXMQkR7xX/zn3po0H96vvK9cv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HyA7gAAADaAAAA&#10;DwAAAAAAAAABACAAAAAiAAAAZHJzL2Rvd25yZXYueG1sUEsBAhQAFAAAAAgAh07iQDMvBZ47AAAA&#10;OQAAABAAAAAAAAAAAQAgAAAABwEAAGRycy9zaGFwZXhtbC54bWxQSwUGAAAAAAYABgBbAQAAsQMA&#10;AAAA&#10;">
                <v:fill on="t" focussize="0,0"/>
                <v:stroke color="#C4BC96" joinstyle="round"/>
                <v:imagedata o:title=""/>
                <o:lock v:ext="edit" aspectratio="f"/>
              </v:roundrect>
              <v:roundrect id="AutoShape 12" o:spid="_x0000_s1026" o:spt="2" style="position:absolute;left:898;top:451;height:792;width:296;rotation:-5898240f;" fillcolor="#C4BC96" filled="t" stroked="t" coordsize="21600,21600" arcsize="0.166666666666667" o:gfxdata="UEsDBAoAAAAAAIdO4kAAAAAAAAAAAAAAAAAEAAAAZHJzL1BLAwQUAAAACACHTuJAxkqEXrwAAADa&#10;AAAADwAAAGRycy9kb3ducmV2LnhtbEWPT4vCMBTE78J+h/AEb5qqoNJt9OAi7F4E/4AeH83bprR5&#10;KU1su99+Iwgeh5n5DZPtBluLjlpfOlYwnyUgiHOnSy4UXC+H6QaED8gaa8ek4I887LYfowxT7Xo+&#10;UXcOhYgQ9ikqMCE0qZQ+N2TRz1xDHL1f11oMUbaF1C32EW5ruUiSlbRYclww2NDeUF6dH1bB8V6u&#10;Nz/dtTpefP5V32+mX+Kg1GQ8Tz5BBBrCO/xqf2sFC3heiTdAb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KhF68AAAA&#10;2gAAAA8AAAAAAAAAAQAgAAAAIgAAAGRycy9kb3ducmV2LnhtbFBLAQIUABQAAAAIAIdO4kAzLwWe&#10;OwAAADkAAAAQAAAAAAAAAAEAIAAAAAsBAABkcnMvc2hhcGV4bWwueG1sUEsFBgAAAAAGAAYAWwEA&#10;ALUDAAAAAA==&#10;">
                <v:fill on="t" focussize="0,0"/>
                <v:stroke color="#C4BC96" joinstyle="round"/>
                <v:imagedata o:title=""/>
                <o:lock v:ext="edit" aspectratio="f"/>
              </v:roundrect>
              <v:shape id="Text Box 13" o:spid="_x0000_s1026" o:spt="202" type="#_x0000_t202" style="position:absolute;left:732;top:716;height:288;width:659;"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jc w:val="center"/>
                        <w:rPr>
                          <w:color w:val="FFFFFF"/>
                        </w:rPr>
                      </w:pPr>
                      <w:r>
                        <w:fldChar w:fldCharType="begin"/>
                      </w:r>
                      <w:r>
                        <w:instrText xml:space="preserve"> PAGE    \* MERGEFORMAT </w:instrText>
                      </w:r>
                      <w:r>
                        <w:fldChar w:fldCharType="separate"/>
                      </w:r>
                      <w:r>
                        <w:rPr>
                          <w:b/>
                          <w:color w:val="FFFFFF"/>
                        </w:rPr>
                        <w:t>2</w:t>
                      </w:r>
                      <w:r>
                        <w:rPr>
                          <w:b/>
                          <w:color w:val="FFFFFF"/>
                        </w:rPr>
                        <w:fldChar w:fldCharType="end"/>
                      </w:r>
                    </w:p>
                  </w:txbxContent>
                </v:textbox>
              </v:shape>
              <w10:wrap type="non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3"/>
          <w:rFonts w:ascii="Symbol" w:hAnsi="Symbol"/>
        </w:rPr>
        <w:t></w:t>
      </w:r>
      <w:r>
        <w:tab/>
      </w:r>
      <w:r>
        <w:t xml:space="preserve">  Corresponding author. Tel.: + </w:t>
      </w:r>
      <w:r>
        <w:rPr>
          <w:color w:val="FF0000"/>
        </w:rPr>
        <w:t>(</w:t>
      </w:r>
      <w:r>
        <w:rPr>
          <w:color w:val="FF0000"/>
          <w:lang w:val="en-US"/>
        </w:rPr>
        <w:t>6281390877580)</w:t>
      </w:r>
    </w:p>
    <w:p>
      <w:pPr>
        <w:pStyle w:val="5"/>
      </w:pPr>
      <w:r>
        <w:tab/>
      </w:r>
      <w:r>
        <w:t xml:space="preserve">   </w:t>
      </w:r>
      <w:r>
        <w:rPr>
          <w:i/>
          <w:iCs/>
        </w:rPr>
        <w:t>E-mail address</w:t>
      </w:r>
      <w:r>
        <w:t xml:space="preserve">: </w:t>
      </w:r>
      <w:r>
        <w:rPr>
          <w:color w:val="FF0000"/>
        </w:rPr>
        <w:t>(</w:t>
      </w:r>
      <w:r>
        <w:rPr>
          <w:color w:val="FF0000"/>
          <w:lang w:val="en-US"/>
        </w:rPr>
        <w:t>ekowiratno84@gmail.com</w:t>
      </w:r>
      <w:r>
        <w:rPr>
          <w:color w:val="FF0000"/>
        </w:rP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314" w:type="dxa"/>
      <w:tblInd w:w="-459" w:type="dxa"/>
      <w:tblLayout w:type="fixed"/>
      <w:tblCellMar>
        <w:top w:w="0" w:type="dxa"/>
        <w:left w:w="108" w:type="dxa"/>
        <w:bottom w:w="0" w:type="dxa"/>
        <w:right w:w="108" w:type="dxa"/>
      </w:tblCellMar>
    </w:tblPr>
    <w:tblGrid>
      <w:gridCol w:w="10314"/>
    </w:tblGrid>
    <w:tr>
      <w:tblPrEx>
        <w:tblLayout w:type="fixed"/>
        <w:tblCellMar>
          <w:top w:w="0" w:type="dxa"/>
          <w:left w:w="108" w:type="dxa"/>
          <w:bottom w:w="0" w:type="dxa"/>
          <w:right w:w="108" w:type="dxa"/>
        </w:tblCellMar>
      </w:tblPrEx>
      <w:trPr>
        <w:trHeight w:val="1560" w:hRule="atLeast"/>
      </w:trPr>
      <w:tc>
        <w:tcPr>
          <w:tcW w:w="10314" w:type="dxa"/>
        </w:tcPr>
        <w:tbl>
          <w:tblPr>
            <w:tblStyle w:val="9"/>
            <w:tblpPr w:leftFromText="180" w:rightFromText="180" w:horzAnchor="margin" w:tblpY="840"/>
            <w:tblOverlap w:val="never"/>
            <w:tblW w:w="10774" w:type="dxa"/>
            <w:tblInd w:w="0" w:type="dxa"/>
            <w:tblLayout w:type="fixed"/>
            <w:tblCellMar>
              <w:top w:w="0" w:type="dxa"/>
              <w:left w:w="108" w:type="dxa"/>
              <w:bottom w:w="0" w:type="dxa"/>
              <w:right w:w="108" w:type="dxa"/>
            </w:tblCellMar>
          </w:tblPr>
          <w:tblGrid>
            <w:gridCol w:w="1956"/>
            <w:gridCol w:w="7401"/>
            <w:gridCol w:w="1417"/>
          </w:tblGrid>
          <w:tr>
            <w:tblPrEx>
              <w:tblLayout w:type="fixed"/>
              <w:tblCellMar>
                <w:top w:w="0" w:type="dxa"/>
                <w:left w:w="108" w:type="dxa"/>
                <w:bottom w:w="0" w:type="dxa"/>
                <w:right w:w="108" w:type="dxa"/>
              </w:tblCellMar>
            </w:tblPrEx>
            <w:trPr>
              <w:trHeight w:val="1980" w:hRule="atLeast"/>
            </w:trPr>
            <w:tc>
              <w:tcPr>
                <w:tcW w:w="1956" w:type="dxa"/>
              </w:tcPr>
              <w:p>
                <w:pPr>
                  <w:pStyle w:val="6"/>
                  <w:jc w:val="both"/>
                  <w:rPr>
                    <w:sz w:val="20"/>
                    <w:szCs w:val="20"/>
                  </w:rPr>
                </w:pPr>
                <w:r>
                  <w:rPr>
                    <w:sz w:val="20"/>
                    <w:szCs w:val="20"/>
                    <w:lang w:val="ro-RO" w:eastAsia="ro-RO"/>
                  </w:rPr>
                  <w:drawing>
                    <wp:inline distT="0" distB="0" distL="0" distR="0">
                      <wp:extent cx="1085850" cy="9525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
                              <a:srcRect/>
                              <a:stretch>
                                <a:fillRect/>
                              </a:stretch>
                            </pic:blipFill>
                            <pic:spPr>
                              <a:xfrm>
                                <a:off x="0" y="0"/>
                                <a:ext cx="1085850" cy="952500"/>
                              </a:xfrm>
                              <a:prstGeom prst="rect">
                                <a:avLst/>
                              </a:prstGeom>
                              <a:noFill/>
                              <a:ln w="9525">
                                <a:noFill/>
                                <a:miter lim="800000"/>
                                <a:headEnd/>
                                <a:tailEnd/>
                              </a:ln>
                            </pic:spPr>
                          </pic:pic>
                        </a:graphicData>
                      </a:graphic>
                    </wp:inline>
                  </w:drawing>
                </w:r>
              </w:p>
            </w:tc>
            <w:tc>
              <w:tcPr>
                <w:tcW w:w="7401" w:type="dxa"/>
              </w:tcPr>
              <w:p>
                <w:pPr>
                  <w:pStyle w:val="6"/>
                  <w:jc w:val="center"/>
                  <w:rPr>
                    <w:b/>
                    <w:color w:val="336600"/>
                    <w:sz w:val="20"/>
                    <w:szCs w:val="20"/>
                  </w:rPr>
                </w:pPr>
                <w:r>
                  <w:rPr>
                    <w:b/>
                    <w:color w:val="336600"/>
                    <w:sz w:val="20"/>
                    <w:szCs w:val="20"/>
                  </w:rPr>
                  <w:t>(online) = ISSN 2285 – 3642</w:t>
                </w:r>
              </w:p>
              <w:p>
                <w:pPr>
                  <w:pStyle w:val="6"/>
                  <w:jc w:val="center"/>
                  <w:rPr>
                    <w:b/>
                    <w:color w:val="336600"/>
                    <w:sz w:val="20"/>
                    <w:szCs w:val="20"/>
                  </w:rPr>
                </w:pPr>
                <w:r>
                  <w:rPr>
                    <w:b/>
                    <w:color w:val="336600"/>
                    <w:sz w:val="20"/>
                    <w:szCs w:val="20"/>
                  </w:rPr>
                  <w:t>ISSN-L = 2285 – 3642</w:t>
                </w:r>
              </w:p>
              <w:p>
                <w:pPr>
                  <w:pStyle w:val="6"/>
                  <w:jc w:val="center"/>
                  <w:rPr>
                    <w:b/>
                    <w:i/>
                    <w:color w:val="336600"/>
                    <w:sz w:val="20"/>
                    <w:szCs w:val="20"/>
                  </w:rPr>
                </w:pPr>
                <w:r>
                  <w:rPr>
                    <w:b/>
                    <w:i/>
                    <w:color w:val="336600"/>
                    <w:sz w:val="20"/>
                    <w:szCs w:val="20"/>
                  </w:rPr>
                  <w:t>Journal of Economic Development, Environment and People</w:t>
                </w:r>
              </w:p>
              <w:p>
                <w:pPr>
                  <w:pStyle w:val="6"/>
                  <w:jc w:val="center"/>
                  <w:rPr>
                    <w:sz w:val="20"/>
                    <w:szCs w:val="20"/>
                  </w:rPr>
                </w:pPr>
                <w:r>
                  <w:rPr>
                    <w:sz w:val="20"/>
                    <w:szCs w:val="20"/>
                  </w:rPr>
                  <w:t>Volume , Issue , 201</w:t>
                </w:r>
                <w:r>
                  <w:rPr>
                    <w:sz w:val="20"/>
                    <w:szCs w:val="20"/>
                    <w:lang w:val="en-US"/>
                  </w:rPr>
                  <w:t>8</w:t>
                </w:r>
              </w:p>
              <w:p>
                <w:pPr>
                  <w:pStyle w:val="6"/>
                  <w:jc w:val="center"/>
                  <w:rPr>
                    <w:sz w:val="20"/>
                    <w:szCs w:val="20"/>
                  </w:rPr>
                </w:pPr>
              </w:p>
              <w:p>
                <w:pPr>
                  <w:pStyle w:val="6"/>
                  <w:jc w:val="center"/>
                  <w:rPr>
                    <w:sz w:val="20"/>
                    <w:szCs w:val="20"/>
                  </w:rPr>
                </w:pPr>
                <w:r>
                  <w:rPr>
                    <w:sz w:val="20"/>
                    <w:szCs w:val="20"/>
                  </w:rPr>
                  <w:t xml:space="preserve">URL: </w:t>
                </w:r>
                <w:r>
                  <w:fldChar w:fldCharType="begin"/>
                </w:r>
                <w:r>
                  <w:instrText xml:space="preserve"> HYPERLINK "http://jedep.spiruharet.ro" </w:instrText>
                </w:r>
                <w:r>
                  <w:fldChar w:fldCharType="separate"/>
                </w:r>
                <w:r>
                  <w:rPr>
                    <w:rStyle w:val="8"/>
                    <w:sz w:val="20"/>
                    <w:szCs w:val="20"/>
                  </w:rPr>
                  <w:t>http://jedep.spiruharet.ro</w:t>
                </w:r>
                <w:r>
                  <w:rPr>
                    <w:rStyle w:val="8"/>
                    <w:sz w:val="20"/>
                    <w:szCs w:val="20"/>
                  </w:rPr>
                  <w:fldChar w:fldCharType="end"/>
                </w:r>
              </w:p>
              <w:p>
                <w:pPr>
                  <w:pStyle w:val="6"/>
                  <w:jc w:val="center"/>
                  <w:rPr>
                    <w:sz w:val="20"/>
                    <w:szCs w:val="20"/>
                  </w:rPr>
                </w:pPr>
                <w:r>
                  <w:rPr>
                    <w:sz w:val="20"/>
                    <w:szCs w:val="20"/>
                  </w:rPr>
                  <w:t xml:space="preserve">e-mail: </w:t>
                </w:r>
                <w:r>
                  <w:fldChar w:fldCharType="begin"/>
                </w:r>
                <w:r>
                  <w:instrText xml:space="preserve"> HYPERLINK "mailto:office_jedep@spiruharet.ro" </w:instrText>
                </w:r>
                <w:r>
                  <w:fldChar w:fldCharType="separate"/>
                </w:r>
                <w:r>
                  <w:rPr>
                    <w:rStyle w:val="8"/>
                    <w:sz w:val="20"/>
                    <w:szCs w:val="20"/>
                  </w:rPr>
                  <w:t>office_jedep@spiruharet.ro</w:t>
                </w:r>
                <w:r>
                  <w:rPr>
                    <w:rStyle w:val="8"/>
                    <w:sz w:val="20"/>
                    <w:szCs w:val="20"/>
                  </w:rPr>
                  <w:fldChar w:fldCharType="end"/>
                </w:r>
              </w:p>
            </w:tc>
            <w:tc>
              <w:tcPr>
                <w:tcW w:w="1417" w:type="dxa"/>
              </w:tcPr>
              <w:p>
                <w:pPr>
                  <w:pStyle w:val="6"/>
                  <w:ind w:right="-1806"/>
                  <w:rPr>
                    <w:sz w:val="20"/>
                    <w:szCs w:val="20"/>
                  </w:rPr>
                </w:pPr>
              </w:p>
            </w:tc>
          </w:tr>
        </w:tbl>
        <w:p>
          <w:pPr>
            <w:pStyle w:val="6"/>
            <w:jc w:val="both"/>
            <w:rPr>
              <w:sz w:val="20"/>
              <w:szCs w:val="20"/>
            </w:rPr>
          </w:pPr>
        </w:p>
      </w:tc>
    </w:tr>
  </w:tb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314" w:type="dxa"/>
      <w:tblInd w:w="-459" w:type="dxa"/>
      <w:tblLayout w:type="fixed"/>
      <w:tblCellMar>
        <w:top w:w="0" w:type="dxa"/>
        <w:left w:w="108" w:type="dxa"/>
        <w:bottom w:w="0" w:type="dxa"/>
        <w:right w:w="108" w:type="dxa"/>
      </w:tblCellMar>
    </w:tblPr>
    <w:tblGrid>
      <w:gridCol w:w="10314"/>
    </w:tblGrid>
    <w:tr>
      <w:tblPrEx>
        <w:tblLayout w:type="fixed"/>
        <w:tblCellMar>
          <w:top w:w="0" w:type="dxa"/>
          <w:left w:w="108" w:type="dxa"/>
          <w:bottom w:w="0" w:type="dxa"/>
          <w:right w:w="108" w:type="dxa"/>
        </w:tblCellMar>
      </w:tblPrEx>
      <w:trPr>
        <w:trHeight w:val="1560" w:hRule="atLeast"/>
      </w:trPr>
      <w:tc>
        <w:tcPr>
          <w:tcW w:w="10314" w:type="dxa"/>
        </w:tcPr>
        <w:tbl>
          <w:tblPr>
            <w:tblStyle w:val="9"/>
            <w:tblpPr w:leftFromText="180" w:rightFromText="180" w:horzAnchor="margin" w:tblpY="840"/>
            <w:tblOverlap w:val="never"/>
            <w:tblW w:w="10774" w:type="dxa"/>
            <w:tblInd w:w="0" w:type="dxa"/>
            <w:tblLayout w:type="fixed"/>
            <w:tblCellMar>
              <w:top w:w="0" w:type="dxa"/>
              <w:left w:w="108" w:type="dxa"/>
              <w:bottom w:w="0" w:type="dxa"/>
              <w:right w:w="108" w:type="dxa"/>
            </w:tblCellMar>
          </w:tblPr>
          <w:tblGrid>
            <w:gridCol w:w="1956"/>
            <w:gridCol w:w="7401"/>
            <w:gridCol w:w="1417"/>
          </w:tblGrid>
          <w:tr>
            <w:tblPrEx>
              <w:tblLayout w:type="fixed"/>
              <w:tblCellMar>
                <w:top w:w="0" w:type="dxa"/>
                <w:left w:w="108" w:type="dxa"/>
                <w:bottom w:w="0" w:type="dxa"/>
                <w:right w:w="108" w:type="dxa"/>
              </w:tblCellMar>
            </w:tblPrEx>
            <w:trPr>
              <w:trHeight w:val="703" w:hRule="atLeast"/>
            </w:trPr>
            <w:tc>
              <w:tcPr>
                <w:tcW w:w="1956" w:type="dxa"/>
              </w:tcPr>
              <w:p>
                <w:pPr>
                  <w:pStyle w:val="6"/>
                  <w:jc w:val="both"/>
                  <w:rPr>
                    <w:sz w:val="20"/>
                    <w:szCs w:val="20"/>
                  </w:rPr>
                </w:pPr>
                <w:r>
                  <w:rPr>
                    <w:sz w:val="20"/>
                    <w:szCs w:val="20"/>
                    <w:lang w:val="ro-RO" w:eastAsia="ro-RO"/>
                  </w:rPr>
                  <w:drawing>
                    <wp:inline distT="0" distB="0" distL="0" distR="0">
                      <wp:extent cx="1085850" cy="9525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
                              <a:srcRect/>
                              <a:stretch>
                                <a:fillRect/>
                              </a:stretch>
                            </pic:blipFill>
                            <pic:spPr>
                              <a:xfrm>
                                <a:off x="0" y="0"/>
                                <a:ext cx="1085850" cy="952500"/>
                              </a:xfrm>
                              <a:prstGeom prst="rect">
                                <a:avLst/>
                              </a:prstGeom>
                              <a:noFill/>
                              <a:ln w="9525">
                                <a:noFill/>
                                <a:miter lim="800000"/>
                                <a:headEnd/>
                                <a:tailEnd/>
                              </a:ln>
                            </pic:spPr>
                          </pic:pic>
                        </a:graphicData>
                      </a:graphic>
                    </wp:inline>
                  </w:drawing>
                </w:r>
              </w:p>
            </w:tc>
            <w:tc>
              <w:tcPr>
                <w:tcW w:w="7401" w:type="dxa"/>
              </w:tcPr>
              <w:p>
                <w:pPr>
                  <w:pStyle w:val="6"/>
                  <w:jc w:val="center"/>
                  <w:rPr>
                    <w:b/>
                    <w:color w:val="336600"/>
                    <w:sz w:val="20"/>
                    <w:szCs w:val="20"/>
                  </w:rPr>
                </w:pPr>
                <w:r>
                  <w:rPr>
                    <w:b/>
                    <w:color w:val="336600"/>
                    <w:sz w:val="20"/>
                    <w:szCs w:val="20"/>
                  </w:rPr>
                  <w:t>(online) = ISSN 2285 – 3642</w:t>
                </w:r>
              </w:p>
              <w:p>
                <w:pPr>
                  <w:pStyle w:val="6"/>
                  <w:jc w:val="center"/>
                  <w:rPr>
                    <w:b/>
                    <w:color w:val="336600"/>
                    <w:sz w:val="20"/>
                    <w:szCs w:val="20"/>
                  </w:rPr>
                </w:pPr>
                <w:r>
                  <w:rPr>
                    <w:b/>
                    <w:color w:val="336600"/>
                    <w:sz w:val="20"/>
                    <w:szCs w:val="20"/>
                  </w:rPr>
                  <w:t>ISSN-L = 2285 – 3642</w:t>
                </w:r>
              </w:p>
              <w:p>
                <w:pPr>
                  <w:pStyle w:val="6"/>
                  <w:jc w:val="center"/>
                  <w:rPr>
                    <w:b/>
                    <w:i/>
                    <w:color w:val="336600"/>
                    <w:sz w:val="20"/>
                    <w:szCs w:val="20"/>
                  </w:rPr>
                </w:pPr>
                <w:r>
                  <w:rPr>
                    <w:b/>
                    <w:i/>
                    <w:color w:val="336600"/>
                    <w:sz w:val="20"/>
                    <w:szCs w:val="20"/>
                  </w:rPr>
                  <w:t>Journal of Economic Development, Environment and People</w:t>
                </w:r>
              </w:p>
              <w:p>
                <w:pPr>
                  <w:pStyle w:val="6"/>
                  <w:jc w:val="center"/>
                  <w:rPr>
                    <w:sz w:val="20"/>
                    <w:szCs w:val="20"/>
                  </w:rPr>
                </w:pPr>
                <w:r>
                  <w:rPr>
                    <w:sz w:val="20"/>
                    <w:szCs w:val="20"/>
                  </w:rPr>
                  <w:t>Volume 5, Issue 2, 2016</w:t>
                </w:r>
              </w:p>
              <w:p>
                <w:pPr>
                  <w:pStyle w:val="6"/>
                  <w:jc w:val="center"/>
                  <w:rPr>
                    <w:sz w:val="20"/>
                    <w:szCs w:val="20"/>
                  </w:rPr>
                </w:pPr>
              </w:p>
              <w:p>
                <w:pPr>
                  <w:pStyle w:val="6"/>
                  <w:jc w:val="center"/>
                  <w:rPr>
                    <w:sz w:val="20"/>
                    <w:szCs w:val="20"/>
                  </w:rPr>
                </w:pPr>
                <w:r>
                  <w:rPr>
                    <w:sz w:val="20"/>
                    <w:szCs w:val="20"/>
                  </w:rPr>
                  <w:t xml:space="preserve">URL: </w:t>
                </w:r>
                <w:r>
                  <w:fldChar w:fldCharType="begin"/>
                </w:r>
                <w:r>
                  <w:instrText xml:space="preserve"> HYPERLINK "http://jedep.spiruharet.ro" </w:instrText>
                </w:r>
                <w:r>
                  <w:fldChar w:fldCharType="separate"/>
                </w:r>
                <w:r>
                  <w:rPr>
                    <w:rStyle w:val="8"/>
                    <w:sz w:val="20"/>
                    <w:szCs w:val="20"/>
                  </w:rPr>
                  <w:t>http://jedep.spiruharet.ro</w:t>
                </w:r>
                <w:r>
                  <w:rPr>
                    <w:rStyle w:val="8"/>
                    <w:sz w:val="20"/>
                    <w:szCs w:val="20"/>
                  </w:rPr>
                  <w:fldChar w:fldCharType="end"/>
                </w:r>
              </w:p>
              <w:p>
                <w:pPr>
                  <w:pStyle w:val="6"/>
                  <w:jc w:val="center"/>
                </w:pPr>
                <w:r>
                  <w:rPr>
                    <w:sz w:val="20"/>
                    <w:szCs w:val="20"/>
                  </w:rPr>
                  <w:t xml:space="preserve">e-mail: </w:t>
                </w:r>
                <w:r>
                  <w:fldChar w:fldCharType="begin"/>
                </w:r>
                <w:r>
                  <w:instrText xml:space="preserve"> HYPERLINK "mailto:office_jedep@spiruharet.ro" </w:instrText>
                </w:r>
                <w:r>
                  <w:fldChar w:fldCharType="separate"/>
                </w:r>
                <w:r>
                  <w:rPr>
                    <w:rStyle w:val="8"/>
                    <w:sz w:val="20"/>
                    <w:szCs w:val="20"/>
                  </w:rPr>
                  <w:t>office_jedep@spiruharet.ro</w:t>
                </w:r>
                <w:r>
                  <w:rPr>
                    <w:rStyle w:val="8"/>
                    <w:sz w:val="20"/>
                    <w:szCs w:val="20"/>
                  </w:rPr>
                  <w:fldChar w:fldCharType="end"/>
                </w:r>
              </w:p>
              <w:p>
                <w:pPr>
                  <w:pStyle w:val="6"/>
                  <w:jc w:val="center"/>
                  <w:rPr>
                    <w:sz w:val="20"/>
                    <w:szCs w:val="20"/>
                  </w:rPr>
                </w:pPr>
              </w:p>
            </w:tc>
            <w:tc>
              <w:tcPr>
                <w:tcW w:w="1417" w:type="dxa"/>
              </w:tcPr>
              <w:p>
                <w:pPr>
                  <w:pStyle w:val="6"/>
                  <w:ind w:right="-1806"/>
                  <w:rPr>
                    <w:sz w:val="20"/>
                    <w:szCs w:val="20"/>
                  </w:rPr>
                </w:pPr>
              </w:p>
            </w:tc>
          </w:tr>
        </w:tbl>
        <w:p>
          <w:pPr>
            <w:pStyle w:val="6"/>
            <w:jc w:val="both"/>
            <w:rPr>
              <w:sz w:val="20"/>
              <w:szCs w:val="20"/>
            </w:rPr>
          </w:pPr>
        </w:p>
      </w:tc>
    </w:tr>
  </w:tbl>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D291B"/>
    <w:multiLevelType w:val="singleLevel"/>
    <w:tmpl w:val="E88D291B"/>
    <w:lvl w:ilvl="0" w:tentative="0">
      <w:start w:val="18"/>
      <w:numFmt w:val="upperLetter"/>
      <w:suff w:val="nothing"/>
      <w:lvlText w:val="%1-"/>
      <w:lvlJc w:val="left"/>
    </w:lvl>
  </w:abstractNum>
  <w:abstractNum w:abstractNumId="1">
    <w:nsid w:val="00000001"/>
    <w:multiLevelType w:val="singleLevel"/>
    <w:tmpl w:val="00000001"/>
    <w:lvl w:ilvl="0" w:tentative="0">
      <w:start w:val="1"/>
      <w:numFmt w:val="lowerLetter"/>
      <w:lvlText w:val="%1."/>
      <w:lvlJc w:val="left"/>
      <w:pPr>
        <w:tabs>
          <w:tab w:val="left" w:pos="425"/>
        </w:tabs>
        <w:ind w:left="425" w:hanging="425"/>
      </w:pPr>
      <w:rPr>
        <w:rFonts w:hint="default"/>
      </w:rPr>
    </w:lvl>
  </w:abstractNum>
  <w:abstractNum w:abstractNumId="2">
    <w:nsid w:val="00000003"/>
    <w:multiLevelType w:val="multilevel"/>
    <w:tmpl w:val="00000003"/>
    <w:lvl w:ilvl="0" w:tentative="0">
      <w:start w:val="1"/>
      <w:numFmt w:val="decimal"/>
      <w:pStyle w:val="19"/>
      <w:lvlText w:val="%1."/>
      <w:lvlJc w:val="left"/>
      <w:pPr>
        <w:tabs>
          <w:tab w:val="left" w:pos="360"/>
        </w:tabs>
        <w:ind w:left="360" w:hanging="360"/>
      </w:pPr>
      <w:rPr>
        <w:sz w:val="20"/>
        <w:szCs w:val="20"/>
      </w:rPr>
    </w:lvl>
    <w:lvl w:ilvl="1" w:tentative="0">
      <w:start w:val="1"/>
      <w:numFmt w:val="decimal"/>
      <w:lvlText w:val="%1.%2."/>
      <w:lvlJc w:val="left"/>
      <w:pPr>
        <w:tabs>
          <w:tab w:val="left" w:pos="605"/>
        </w:tabs>
        <w:ind w:left="605" w:hanging="605"/>
      </w:pPr>
      <w:rPr>
        <w:sz w:val="20"/>
        <w:szCs w:val="20"/>
      </w:rPr>
    </w:lvl>
    <w:lvl w:ilvl="2" w:tentative="0">
      <w:start w:val="1"/>
      <w:numFmt w:val="decimal"/>
      <w:lvlText w:val="%1.%2.%3."/>
      <w:lvlJc w:val="left"/>
      <w:pPr>
        <w:tabs>
          <w:tab w:val="left" w:pos="1224"/>
        </w:tabs>
        <w:ind w:left="1224" w:hanging="504"/>
      </w:p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D72D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7D40BA"/>
    <w:rsid w:val="130B3CA9"/>
    <w:rsid w:val="14D63ACD"/>
    <w:rsid w:val="186D72DD"/>
    <w:rsid w:val="1A1F666E"/>
    <w:rsid w:val="1FC43353"/>
    <w:rsid w:val="2F1D3224"/>
    <w:rsid w:val="3AF525D7"/>
    <w:rsid w:val="3C5408A4"/>
    <w:rsid w:val="3F011E2B"/>
    <w:rsid w:val="4B3128FA"/>
    <w:rsid w:val="6BF338D1"/>
    <w:rsid w:val="70B51D1B"/>
    <w:rsid w:val="739D3C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cstheme="majorBidi"/>
      <w:b/>
      <w:bCs/>
      <w:kern w:val="32"/>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uppressAutoHyphens/>
      <w:spacing w:after="60" w:line="280" w:lineRule="exact"/>
      <w:ind w:firstLine="357"/>
      <w:jc w:val="both"/>
    </w:pPr>
    <w:rPr>
      <w:rFonts w:ascii="Times New Roman" w:hAnsi="Times New Roman" w:eastAsia="SimSun"/>
      <w:szCs w:val="20"/>
      <w:lang w:val="en-GB" w:eastAsia="ar-SA"/>
    </w:rPr>
  </w:style>
  <w:style w:type="paragraph" w:styleId="4">
    <w:name w:val="footer"/>
    <w:basedOn w:val="1"/>
    <w:qFormat/>
    <w:uiPriority w:val="0"/>
    <w:pPr>
      <w:tabs>
        <w:tab w:val="center" w:pos="4680"/>
        <w:tab w:val="right" w:pos="9360"/>
      </w:tabs>
      <w:spacing w:after="0" w:line="240" w:lineRule="auto"/>
    </w:pPr>
  </w:style>
  <w:style w:type="paragraph" w:styleId="5">
    <w:name w:val="footnote text"/>
    <w:basedOn w:val="1"/>
    <w:qFormat/>
    <w:uiPriority w:val="0"/>
    <w:rPr>
      <w:sz w:val="20"/>
      <w:szCs w:val="20"/>
    </w:rPr>
  </w:style>
  <w:style w:type="paragraph" w:styleId="6">
    <w:name w:val="header"/>
    <w:basedOn w:val="1"/>
    <w:qFormat/>
    <w:uiPriority w:val="0"/>
    <w:pPr>
      <w:tabs>
        <w:tab w:val="center" w:pos="4680"/>
        <w:tab w:val="right" w:pos="9360"/>
      </w:tabs>
      <w:spacing w:after="0" w:line="240" w:lineRule="auto"/>
    </w:pPr>
  </w:style>
  <w:style w:type="character" w:styleId="8">
    <w:name w:val="Hyperlink"/>
    <w:basedOn w:val="7"/>
    <w:qFormat/>
    <w:uiPriority w:val="0"/>
    <w:rPr>
      <w:rFonts w:cs="Times New Roman"/>
      <w:color w:val="0000FF"/>
      <w:u w:val="single"/>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Title of Paper"/>
    <w:basedOn w:val="1"/>
    <w:qFormat/>
    <w:uiPriority w:val="0"/>
    <w:pPr>
      <w:suppressAutoHyphens/>
      <w:spacing w:before="480" w:after="360" w:line="240" w:lineRule="auto"/>
      <w:jc w:val="center"/>
    </w:pPr>
    <w:rPr>
      <w:rFonts w:ascii="Times New Roman" w:hAnsi="Times New Roman" w:eastAsia="MS Mincho"/>
      <w:b/>
      <w:bCs/>
      <w:sz w:val="32"/>
      <w:szCs w:val="40"/>
      <w:lang w:eastAsia="ar-SA"/>
    </w:rPr>
  </w:style>
  <w:style w:type="paragraph" w:customStyle="1" w:styleId="12">
    <w:name w:val="Author"/>
    <w:basedOn w:val="1"/>
    <w:qFormat/>
    <w:uiPriority w:val="0"/>
    <w:pPr>
      <w:tabs>
        <w:tab w:val="left" w:pos="1800"/>
        <w:tab w:val="left" w:pos="3510"/>
      </w:tabs>
      <w:suppressAutoHyphens/>
      <w:spacing w:after="0" w:line="360" w:lineRule="auto"/>
      <w:jc w:val="center"/>
    </w:pPr>
    <w:rPr>
      <w:rFonts w:ascii="Times New Roman" w:hAnsi="Times New Roman" w:eastAsia="MS Mincho"/>
      <w:sz w:val="24"/>
      <w:lang w:eastAsia="ar-SA"/>
    </w:rPr>
  </w:style>
  <w:style w:type="character" w:customStyle="1" w:styleId="13">
    <w:name w:val="Footnote Characters"/>
    <w:basedOn w:val="7"/>
    <w:qFormat/>
    <w:uiPriority w:val="0"/>
    <w:rPr>
      <w:vertAlign w:val="superscript"/>
    </w:rPr>
  </w:style>
  <w:style w:type="paragraph" w:customStyle="1" w:styleId="14">
    <w:name w:val="Affiliation"/>
    <w:basedOn w:val="1"/>
    <w:qFormat/>
    <w:uiPriority w:val="0"/>
    <w:pPr>
      <w:suppressAutoHyphens/>
      <w:spacing w:after="60" w:line="240" w:lineRule="auto"/>
      <w:jc w:val="center"/>
    </w:pPr>
    <w:rPr>
      <w:rFonts w:ascii="Times New Roman" w:hAnsi="Times New Roman" w:eastAsia="PMingLiU"/>
      <w:szCs w:val="20"/>
      <w:lang w:eastAsia="ar-SA"/>
    </w:rPr>
  </w:style>
  <w:style w:type="paragraph" w:customStyle="1" w:styleId="15">
    <w:name w:val="Affiliation 2"/>
    <w:basedOn w:val="2"/>
    <w:qFormat/>
    <w:uiPriority w:val="0"/>
    <w:pPr>
      <w:suppressAutoHyphens/>
      <w:spacing w:before="0" w:after="240" w:line="240" w:lineRule="auto"/>
      <w:jc w:val="center"/>
    </w:pPr>
    <w:rPr>
      <w:rFonts w:ascii="Times New Roman" w:hAnsi="Times New Roman" w:eastAsia="SimSun" w:cs="Times New Roman"/>
      <w:b w:val="0"/>
      <w:bCs w:val="0"/>
      <w:kern w:val="1"/>
      <w:sz w:val="22"/>
      <w:szCs w:val="20"/>
      <w:lang w:eastAsia="ar-SA"/>
    </w:rPr>
  </w:style>
  <w:style w:type="character" w:customStyle="1" w:styleId="16">
    <w:name w:val="abstract head Char"/>
    <w:basedOn w:val="7"/>
    <w:qFormat/>
    <w:uiPriority w:val="0"/>
  </w:style>
  <w:style w:type="paragraph" w:customStyle="1" w:styleId="17">
    <w:name w:val="keywords"/>
    <w:basedOn w:val="1"/>
    <w:qFormat/>
    <w:uiPriority w:val="0"/>
    <w:pPr>
      <w:suppressAutoHyphens/>
      <w:spacing w:before="120" w:after="120" w:line="280" w:lineRule="exact"/>
      <w:ind w:left="425" w:right="431"/>
      <w:jc w:val="both"/>
    </w:pPr>
    <w:rPr>
      <w:rFonts w:ascii="Times New Roman" w:hAnsi="Times New Roman" w:eastAsia="MS Mincho"/>
      <w:sz w:val="20"/>
      <w:szCs w:val="20"/>
      <w:lang w:val="en-GB" w:eastAsia="ar-SA"/>
    </w:rPr>
  </w:style>
  <w:style w:type="character" w:customStyle="1" w:styleId="18">
    <w:name w:val="keyword head Char"/>
    <w:basedOn w:val="7"/>
    <w:qFormat/>
    <w:uiPriority w:val="0"/>
    <w:rPr>
      <w:rFonts w:eastAsia="MS Mincho"/>
      <w:b/>
      <w:bCs/>
      <w:sz w:val="24"/>
      <w:lang w:val="en-GB" w:eastAsia="ar-SA" w:bidi="ar-SA"/>
    </w:rPr>
  </w:style>
  <w:style w:type="paragraph" w:customStyle="1" w:styleId="19">
    <w:name w:val="Header 1"/>
    <w:basedOn w:val="1"/>
    <w:qFormat/>
    <w:uiPriority w:val="0"/>
    <w:pPr>
      <w:numPr>
        <w:ilvl w:val="0"/>
        <w:numId w:val="1"/>
      </w:numPr>
      <w:suppressAutoHyphens/>
      <w:spacing w:before="240" w:after="120" w:line="240" w:lineRule="exact"/>
      <w:ind w:left="357" w:hanging="357"/>
    </w:pPr>
    <w:rPr>
      <w:rFonts w:ascii="Times New Roman" w:hAnsi="Times New Roman" w:eastAsia="SimSun"/>
      <w:b/>
      <w:bCs/>
      <w:sz w:val="28"/>
      <w:szCs w:val="28"/>
      <w:lang w:eastAsia="ar-SA"/>
    </w:rPr>
  </w:style>
  <w:style w:type="paragraph" w:customStyle="1" w:styleId="20">
    <w:name w:val="List Paragraph"/>
    <w:basedOn w:val="1"/>
    <w:qFormat/>
    <w:uiPriority w:val="34"/>
    <w:pPr>
      <w:ind w:left="720"/>
      <w:contextualSpacing/>
    </w:pPr>
  </w:style>
  <w:style w:type="table" w:customStyle="1" w:styleId="21">
    <w:name w:val="Table Grid1"/>
    <w:basedOn w:val="9"/>
    <w:qFormat/>
    <w:uiPriority w:val="59"/>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2">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id-ID" w:bidi="ar-SA"/>
    </w:rPr>
  </w:style>
  <w:style w:type="paragraph" w:customStyle="1" w:styleId="23">
    <w:name w:val="List Paragraph1"/>
    <w:basedOn w:val="1"/>
    <w:qFormat/>
    <w:uiPriority w:val="0"/>
    <w:pPr>
      <w:ind w:left="720"/>
      <w:contextualSpacing/>
    </w:pPr>
    <w:rPr>
      <w:rFonts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2018-09-28T03:11:00Z</dcterms:created>
  <dc:creator>user</dc:creator>
  <cp:lastModifiedBy>user</cp:lastModifiedBy>
  <dcterms:modified xsi:type="dcterms:W3CDTF">2018-11-30T16:22:27Z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